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2FFBB039" w:rsidR="009F52D7" w:rsidRPr="00AC56A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B8567C">
        <w:rPr>
          <w:rFonts w:ascii="Arial" w:hAnsi="Arial" w:cs="Arial"/>
          <w:b/>
          <w:sz w:val="24"/>
          <w:szCs w:val="24"/>
        </w:rPr>
        <w:t>99</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Pr="00AC56A9">
        <w:rPr>
          <w:rFonts w:ascii="Arial" w:hAnsi="Arial" w:cs="Arial"/>
          <w:b/>
          <w:sz w:val="24"/>
          <w:szCs w:val="24"/>
        </w:rPr>
        <w:t>R4-2</w:t>
      </w:r>
      <w:r w:rsidR="00E5586A" w:rsidRPr="00AC56A9">
        <w:rPr>
          <w:rFonts w:ascii="Arial" w:hAnsi="Arial" w:cs="Arial"/>
          <w:b/>
          <w:sz w:val="24"/>
          <w:szCs w:val="24"/>
        </w:rPr>
        <w:t>10</w:t>
      </w:r>
      <w:r w:rsidR="00E16D97" w:rsidRPr="00AC56A9">
        <w:rPr>
          <w:rFonts w:ascii="Arial" w:hAnsi="Arial" w:cs="Arial"/>
          <w:b/>
          <w:sz w:val="24"/>
          <w:szCs w:val="24"/>
        </w:rPr>
        <w:t>9360</w:t>
      </w:r>
    </w:p>
    <w:p w14:paraId="2C67BE8C" w14:textId="332FE518" w:rsidR="009F52D7" w:rsidRPr="00AC56A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AC56A9">
        <w:rPr>
          <w:rFonts w:ascii="Arial" w:eastAsia="SimSun" w:hAnsi="Arial"/>
          <w:b/>
          <w:sz w:val="24"/>
          <w:szCs w:val="24"/>
          <w:lang w:eastAsia="zh-CN"/>
        </w:rPr>
        <w:t xml:space="preserve">Electronic Meeting, </w:t>
      </w:r>
      <w:r w:rsidR="00B8567C" w:rsidRPr="00AC56A9">
        <w:rPr>
          <w:rFonts w:ascii="Arial" w:eastAsia="SimSun" w:hAnsi="Arial"/>
          <w:b/>
          <w:sz w:val="24"/>
          <w:szCs w:val="24"/>
          <w:lang w:eastAsia="zh-CN"/>
        </w:rPr>
        <w:t>May</w:t>
      </w:r>
      <w:r w:rsidRPr="00AC56A9">
        <w:rPr>
          <w:rFonts w:ascii="Arial" w:eastAsia="SimSun" w:hAnsi="Arial"/>
          <w:b/>
          <w:sz w:val="24"/>
          <w:szCs w:val="24"/>
          <w:lang w:eastAsia="zh-CN"/>
        </w:rPr>
        <w:t xml:space="preserve"> 1</w:t>
      </w:r>
      <w:r w:rsidR="00B8567C" w:rsidRPr="00AC56A9">
        <w:rPr>
          <w:rFonts w:ascii="Arial" w:eastAsia="SimSun" w:hAnsi="Arial"/>
          <w:b/>
          <w:sz w:val="24"/>
          <w:szCs w:val="24"/>
          <w:lang w:eastAsia="zh-CN"/>
        </w:rPr>
        <w:t>9</w:t>
      </w:r>
      <w:r w:rsidRPr="00AC56A9">
        <w:rPr>
          <w:rFonts w:ascii="Arial" w:eastAsia="SimSun" w:hAnsi="Arial"/>
          <w:b/>
          <w:sz w:val="24"/>
          <w:szCs w:val="24"/>
          <w:lang w:eastAsia="zh-CN"/>
        </w:rPr>
        <w:t>-2</w:t>
      </w:r>
      <w:r w:rsidR="00B8567C" w:rsidRPr="00AC56A9">
        <w:rPr>
          <w:rFonts w:ascii="Arial" w:eastAsia="SimSun" w:hAnsi="Arial"/>
          <w:b/>
          <w:sz w:val="24"/>
          <w:szCs w:val="24"/>
          <w:lang w:eastAsia="zh-CN"/>
        </w:rPr>
        <w:t>7</w:t>
      </w:r>
      <w:r w:rsidRPr="00AC56A9">
        <w:rPr>
          <w:rFonts w:ascii="Arial" w:eastAsia="SimSun" w:hAnsi="Arial"/>
          <w:b/>
          <w:sz w:val="24"/>
          <w:szCs w:val="24"/>
          <w:lang w:eastAsia="zh-CN"/>
        </w:rPr>
        <w:t>, 2021</w:t>
      </w:r>
    </w:p>
    <w:p w14:paraId="2305CEA3" w14:textId="51132DE4" w:rsidR="009F52D7" w:rsidRPr="00303915" w:rsidRDefault="009F52D7" w:rsidP="009F52D7">
      <w:pPr>
        <w:pStyle w:val="CH"/>
        <w:rPr>
          <w:sz w:val="24"/>
          <w:szCs w:val="24"/>
        </w:rPr>
      </w:pPr>
      <w:r w:rsidRPr="00AC56A9">
        <w:rPr>
          <w:sz w:val="24"/>
          <w:szCs w:val="24"/>
        </w:rPr>
        <w:t>Agenda item:</w:t>
      </w:r>
      <w:r w:rsidRPr="00AC56A9">
        <w:rPr>
          <w:sz w:val="24"/>
          <w:szCs w:val="24"/>
        </w:rPr>
        <w:tab/>
      </w:r>
      <w:r w:rsidR="00E16D97" w:rsidRPr="00AC56A9">
        <w:rPr>
          <w:sz w:val="24"/>
          <w:szCs w:val="24"/>
        </w:rPr>
        <w:t>9.18</w:t>
      </w:r>
      <w:r w:rsidR="005D1B1F" w:rsidRPr="00AC56A9">
        <w:rPr>
          <w:sz w:val="24"/>
          <w:szCs w:val="24"/>
        </w:rPr>
        <w:t>.</w:t>
      </w:r>
      <w:r w:rsidR="00E5586A" w:rsidRPr="00AC56A9">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D43B1BA" w:rsidR="009F52D7" w:rsidRPr="00303915" w:rsidRDefault="009F52D7" w:rsidP="00E16D97">
      <w:pPr>
        <w:pStyle w:val="CH"/>
        <w:ind w:left="2250" w:hanging="2250"/>
        <w:rPr>
          <w:sz w:val="24"/>
          <w:szCs w:val="24"/>
          <w:lang w:val="de-DE"/>
        </w:rPr>
      </w:pPr>
      <w:r w:rsidRPr="00303915">
        <w:rPr>
          <w:sz w:val="24"/>
          <w:szCs w:val="24"/>
        </w:rPr>
        <w:t>Title:</w:t>
      </w:r>
      <w:r w:rsidRPr="00303915">
        <w:rPr>
          <w:sz w:val="24"/>
          <w:szCs w:val="24"/>
        </w:rPr>
        <w:tab/>
      </w:r>
      <w:r w:rsidR="00E16D97" w:rsidRPr="00E16D97">
        <w:rPr>
          <w:sz w:val="24"/>
          <w:szCs w:val="24"/>
        </w:rPr>
        <w:t xml:space="preserve">Discussion </w:t>
      </w:r>
      <w:r w:rsidR="00B004DD" w:rsidRPr="00E16D97">
        <w:rPr>
          <w:sz w:val="24"/>
          <w:szCs w:val="24"/>
        </w:rPr>
        <w:t>on reply</w:t>
      </w:r>
      <w:r w:rsidR="00E16D97" w:rsidRPr="00E16D97">
        <w:rPr>
          <w:sz w:val="24"/>
          <w:szCs w:val="24"/>
        </w:rPr>
        <w:t xml:space="preserve"> LS on L1/L2-Centric Inter-Cell Mobility</w:t>
      </w:r>
      <w:r w:rsidR="00B004DD">
        <w:rPr>
          <w:sz w:val="24"/>
          <w:szCs w:val="24"/>
        </w:rPr>
        <w:t xml:space="preserve"> and DL timing</w:t>
      </w:r>
    </w:p>
    <w:p w14:paraId="2AB0E874" w14:textId="67138D98"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16D97">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1F8CBB21" w14:textId="4FD89FEA" w:rsidR="00B004DD" w:rsidRPr="0054748E" w:rsidRDefault="009F52D7" w:rsidP="00B004DD">
      <w:pPr>
        <w:spacing w:after="120"/>
        <w:rPr>
          <w:sz w:val="20"/>
          <w:szCs w:val="20"/>
        </w:rPr>
      </w:pPr>
      <w:r w:rsidRPr="003D1E60">
        <w:rPr>
          <w:sz w:val="20"/>
          <w:szCs w:val="20"/>
        </w:rPr>
        <w:t>In RAN4#9</w:t>
      </w:r>
      <w:r w:rsidR="00B8567C" w:rsidRPr="003D1E60">
        <w:rPr>
          <w:sz w:val="20"/>
          <w:szCs w:val="20"/>
        </w:rPr>
        <w:t>8bis-</w:t>
      </w:r>
      <w:r w:rsidRPr="003D1E60">
        <w:rPr>
          <w:sz w:val="20"/>
          <w:szCs w:val="20"/>
        </w:rPr>
        <w:t xml:space="preserve">e </w:t>
      </w:r>
      <w:r w:rsidR="003D1E60" w:rsidRPr="003D1E60">
        <w:rPr>
          <w:sz w:val="20"/>
          <w:szCs w:val="20"/>
        </w:rPr>
        <w:t xml:space="preserve">RAN4 received an LS from RAN1 on TCI State Update for L1/L2-Centric Inter-Cell Mobility [1]. </w:t>
      </w:r>
      <w:r w:rsidR="003D1E60">
        <w:rPr>
          <w:sz w:val="20"/>
          <w:szCs w:val="20"/>
        </w:rPr>
        <w:t xml:space="preserve">In RAN4#98-bis-e the LS was discussed and way forward [2] was agreed. </w:t>
      </w:r>
      <w:r w:rsidR="00B004DD">
        <w:rPr>
          <w:sz w:val="20"/>
          <w:szCs w:val="20"/>
        </w:rPr>
        <w:t xml:space="preserve">In this meeting </w:t>
      </w:r>
      <w:r w:rsidR="00B004DD" w:rsidRPr="0054748E">
        <w:rPr>
          <w:sz w:val="20"/>
          <w:szCs w:val="20"/>
        </w:rPr>
        <w:t>RAN4 has received an LS from RAN1 on Timing Assumption for Inter-Cell DL Measurement [</w:t>
      </w:r>
      <w:r w:rsidR="00B004DD">
        <w:rPr>
          <w:sz w:val="20"/>
          <w:szCs w:val="20"/>
        </w:rPr>
        <w:t>3</w:t>
      </w:r>
      <w:r w:rsidR="00B004DD" w:rsidRPr="0054748E">
        <w:rPr>
          <w:sz w:val="20"/>
          <w:szCs w:val="20"/>
        </w:rPr>
        <w:t xml:space="preserve">]. In this contribution we discuss the questions raised by RAN1 and propose replies to them. </w:t>
      </w:r>
    </w:p>
    <w:p w14:paraId="4761999E" w14:textId="24E9B71A" w:rsidR="00B004DD" w:rsidRPr="00902CCA" w:rsidRDefault="00B004DD" w:rsidP="003D1E60">
      <w:pPr>
        <w:spacing w:after="120"/>
        <w:rPr>
          <w:sz w:val="20"/>
          <w:szCs w:val="20"/>
        </w:rPr>
      </w:pPr>
    </w:p>
    <w:p w14:paraId="4EAFA8EB" w14:textId="3F4A44FE" w:rsidR="009F52D7" w:rsidRDefault="009F52D7" w:rsidP="003D1E60">
      <w:pPr>
        <w:pStyle w:val="Heading1"/>
      </w:pPr>
      <w:r>
        <w:t xml:space="preserve">2. </w:t>
      </w:r>
      <w:r w:rsidR="00B004DD" w:rsidRPr="00B004DD">
        <w:t>L1/L2-Centric Inter-Cell Mobility</w:t>
      </w:r>
    </w:p>
    <w:p w14:paraId="6B2E9FEA" w14:textId="77777777" w:rsidR="006A1FC4" w:rsidRPr="00BC5064" w:rsidRDefault="006A1FC4" w:rsidP="006A1FC4">
      <w:pPr>
        <w:spacing w:after="120"/>
        <w:rPr>
          <w:sz w:val="20"/>
          <w:szCs w:val="20"/>
        </w:rPr>
      </w:pPr>
      <w:r w:rsidRPr="00BC5064">
        <w:rPr>
          <w:sz w:val="20"/>
          <w:szCs w:val="20"/>
        </w:rPr>
        <w:t xml:space="preserve">RAN1 discussed the support of L1/L2-centric inter-cell mobility and made the following agreement.  </w:t>
      </w:r>
    </w:p>
    <w:tbl>
      <w:tblPr>
        <w:tblStyle w:val="TableGrid"/>
        <w:tblW w:w="0" w:type="auto"/>
        <w:tblLook w:val="04A0" w:firstRow="1" w:lastRow="0" w:firstColumn="1" w:lastColumn="0" w:noHBand="0" w:noVBand="1"/>
      </w:tblPr>
      <w:tblGrid>
        <w:gridCol w:w="9350"/>
      </w:tblGrid>
      <w:tr w:rsidR="006A1FC4" w14:paraId="63F7AF6A" w14:textId="77777777" w:rsidTr="004D0BB6">
        <w:tc>
          <w:tcPr>
            <w:tcW w:w="9350" w:type="dxa"/>
          </w:tcPr>
          <w:p w14:paraId="76B9B57D" w14:textId="77777777" w:rsidR="006A1FC4" w:rsidRPr="00EE697F" w:rsidRDefault="006A1FC4" w:rsidP="004D0BB6">
            <w:pPr>
              <w:rPr>
                <w:rFonts w:cs="Times"/>
                <w:color w:val="000000"/>
                <w:lang w:eastAsia="ko-KR"/>
              </w:rPr>
            </w:pPr>
            <w:r w:rsidRPr="00EE697F">
              <w:rPr>
                <w:rFonts w:cs="Times"/>
                <w:b/>
                <w:bCs/>
                <w:color w:val="000000"/>
                <w:highlight w:val="green"/>
              </w:rPr>
              <w:t>Agreement</w:t>
            </w:r>
          </w:p>
          <w:p w14:paraId="4D746263" w14:textId="77777777" w:rsidR="006A1FC4" w:rsidRPr="00EE697F" w:rsidRDefault="006A1FC4" w:rsidP="004D0BB6">
            <w:pPr>
              <w:rPr>
                <w:rFonts w:cs="Times"/>
              </w:rPr>
            </w:pPr>
            <w:r w:rsidRPr="00EE697F">
              <w:rPr>
                <w:rFonts w:cs="Times"/>
              </w:rPr>
              <w:t xml:space="preserve">On Rel.17 enhancements </w:t>
            </w:r>
            <w:r w:rsidRPr="00EE697F">
              <w:rPr>
                <w:rFonts w:cs="Times"/>
                <w:color w:val="000000"/>
              </w:rPr>
              <w:t xml:space="preserve">for L1/L2-centric inter-cell mobility, </w:t>
            </w:r>
          </w:p>
          <w:p w14:paraId="04EF520D" w14:textId="77777777" w:rsidR="006A1FC4" w:rsidRPr="00EE697F" w:rsidRDefault="006A1FC4" w:rsidP="004D0BB6">
            <w:pPr>
              <w:numPr>
                <w:ilvl w:val="0"/>
                <w:numId w:val="3"/>
              </w:numPr>
              <w:jc w:val="left"/>
              <w:rPr>
                <w:rFonts w:cs="Times"/>
              </w:rPr>
            </w:pPr>
            <w:r w:rsidRPr="00EE697F">
              <w:rPr>
                <w:rFonts w:cs="Times"/>
              </w:rPr>
              <w:t xml:space="preserve">Discuss whether to support at least the source RS types already agreed for intra-cell mobility for the purpose of referencing to non-serving cell(s). Note: This implies the following source RS(s): </w:t>
            </w:r>
          </w:p>
          <w:p w14:paraId="6C2B6748" w14:textId="77777777" w:rsidR="006A1FC4" w:rsidRPr="00EE697F" w:rsidRDefault="006A1FC4" w:rsidP="004D0BB6">
            <w:pPr>
              <w:numPr>
                <w:ilvl w:val="1"/>
                <w:numId w:val="4"/>
              </w:numPr>
              <w:jc w:val="left"/>
              <w:rPr>
                <w:rFonts w:cs="Times"/>
              </w:rPr>
            </w:pPr>
            <w:r w:rsidRPr="00EE697F">
              <w:rPr>
                <w:rFonts w:cs="Times"/>
              </w:rPr>
              <w:t>CSI-RS for BM configured for non-serving cell(s) for DL QCL and UL TX spatial references</w:t>
            </w:r>
          </w:p>
          <w:p w14:paraId="58261596" w14:textId="77777777" w:rsidR="006A1FC4" w:rsidRPr="00EE697F" w:rsidRDefault="006A1FC4" w:rsidP="004D0BB6">
            <w:pPr>
              <w:numPr>
                <w:ilvl w:val="1"/>
                <w:numId w:val="4"/>
              </w:numPr>
              <w:jc w:val="left"/>
              <w:rPr>
                <w:rFonts w:cs="Times"/>
              </w:rPr>
            </w:pPr>
            <w:r w:rsidRPr="00EE697F">
              <w:rPr>
                <w:rFonts w:cs="Times"/>
              </w:rPr>
              <w:t>CSI-RS for tracking (TRS) configured for non-serving cell(s) for DL QCL and UL TX spatial references</w:t>
            </w:r>
          </w:p>
          <w:p w14:paraId="48171301" w14:textId="77777777" w:rsidR="006A1FC4" w:rsidRPr="00EE697F" w:rsidRDefault="006A1FC4" w:rsidP="004D0BB6">
            <w:pPr>
              <w:numPr>
                <w:ilvl w:val="1"/>
                <w:numId w:val="4"/>
              </w:numPr>
              <w:jc w:val="left"/>
              <w:rPr>
                <w:rFonts w:cs="Times"/>
              </w:rPr>
            </w:pPr>
            <w:r w:rsidRPr="00EE697F">
              <w:rPr>
                <w:rFonts w:cs="Times"/>
              </w:rPr>
              <w:t>SSB configured for non-serving cell(s) for UL TX spatial references</w:t>
            </w:r>
          </w:p>
          <w:p w14:paraId="3840DC57" w14:textId="77777777" w:rsidR="006A1FC4" w:rsidRPr="00EE697F" w:rsidRDefault="006A1FC4" w:rsidP="004D0BB6">
            <w:pPr>
              <w:numPr>
                <w:ilvl w:val="1"/>
                <w:numId w:val="4"/>
              </w:numPr>
              <w:jc w:val="left"/>
              <w:rPr>
                <w:rFonts w:cs="Times"/>
              </w:rPr>
            </w:pPr>
            <w:r w:rsidRPr="00EE697F">
              <w:rPr>
                <w:rFonts w:cs="Times"/>
              </w:rPr>
              <w:t>SRS for BM configured for non-serving cell(s) for UL TX spatial references</w:t>
            </w:r>
          </w:p>
          <w:p w14:paraId="2B51BA51" w14:textId="77777777" w:rsidR="006A1FC4" w:rsidRPr="00EE697F" w:rsidRDefault="006A1FC4" w:rsidP="004D0BB6">
            <w:pPr>
              <w:numPr>
                <w:ilvl w:val="1"/>
                <w:numId w:val="4"/>
              </w:numPr>
              <w:jc w:val="left"/>
              <w:rPr>
                <w:rFonts w:cs="Times"/>
              </w:rPr>
            </w:pPr>
            <w:r w:rsidRPr="00EE697F">
              <w:rPr>
                <w:rFonts w:cs="Times"/>
              </w:rPr>
              <w:t xml:space="preserve">FFS: whether to support CSI-RS for mobility </w:t>
            </w:r>
          </w:p>
          <w:p w14:paraId="79657E8D" w14:textId="77777777" w:rsidR="006A1FC4" w:rsidRPr="00EE697F" w:rsidRDefault="006A1FC4" w:rsidP="004D0BB6">
            <w:pPr>
              <w:numPr>
                <w:ilvl w:val="1"/>
                <w:numId w:val="4"/>
              </w:numPr>
              <w:jc w:val="left"/>
              <w:rPr>
                <w:rFonts w:cs="Times"/>
              </w:rPr>
            </w:pPr>
            <w:r w:rsidRPr="00EE697F">
              <w:rPr>
                <w:rFonts w:cs="Times"/>
              </w:rPr>
              <w:t>FFS: whether to support other source RS(s) potentially agreed later for intra-cell mobility</w:t>
            </w:r>
          </w:p>
          <w:p w14:paraId="45B4F237" w14:textId="77777777" w:rsidR="006A1FC4" w:rsidRPr="00EE697F" w:rsidRDefault="006A1FC4" w:rsidP="004D0BB6">
            <w:pPr>
              <w:numPr>
                <w:ilvl w:val="1"/>
                <w:numId w:val="4"/>
              </w:numPr>
              <w:jc w:val="left"/>
              <w:rPr>
                <w:rFonts w:cs="Times"/>
              </w:rPr>
            </w:pPr>
            <w:r w:rsidRPr="00EE697F">
              <w:rPr>
                <w:rFonts w:cs="Times"/>
              </w:rPr>
              <w:t>FFS: whether to support CSI-RS for BM and tracking configured for non-serving cell(s) and without non-serving cell SSB as QCL-</w:t>
            </w:r>
            <w:proofErr w:type="spellStart"/>
            <w:r w:rsidRPr="00EE697F">
              <w:rPr>
                <w:rFonts w:cs="Times"/>
              </w:rPr>
              <w:t>TypeD</w:t>
            </w:r>
            <w:proofErr w:type="spellEnd"/>
            <w:r w:rsidRPr="00EE697F">
              <w:rPr>
                <w:rFonts w:cs="Times"/>
              </w:rPr>
              <w:t xml:space="preserve"> source</w:t>
            </w:r>
          </w:p>
          <w:p w14:paraId="49BCFFB9" w14:textId="77777777" w:rsidR="006A1FC4" w:rsidRPr="00EE697F" w:rsidRDefault="006A1FC4" w:rsidP="004D0BB6">
            <w:pPr>
              <w:numPr>
                <w:ilvl w:val="0"/>
                <w:numId w:val="4"/>
              </w:numPr>
              <w:jc w:val="left"/>
              <w:rPr>
                <w:rFonts w:cs="Times"/>
              </w:rPr>
            </w:pPr>
            <w:r w:rsidRPr="00EE697F">
              <w:rPr>
                <w:rFonts w:cs="Times"/>
              </w:rPr>
              <w:t xml:space="preserve">Send an LS to RAN2 on TCI state update (beam indication) using source RS configured for non-serving cell(s) for DL reception and UL transmission. The following topics are considered for the LS: </w:t>
            </w:r>
          </w:p>
          <w:p w14:paraId="72AB2A94" w14:textId="77777777" w:rsidR="006A1FC4" w:rsidRPr="00EE697F" w:rsidRDefault="006A1FC4" w:rsidP="004D0BB6">
            <w:pPr>
              <w:numPr>
                <w:ilvl w:val="1"/>
                <w:numId w:val="4"/>
              </w:numPr>
              <w:jc w:val="left"/>
              <w:rPr>
                <w:rFonts w:cs="Times"/>
              </w:rPr>
            </w:pPr>
            <w:r w:rsidRPr="00EE697F">
              <w:rPr>
                <w:rFonts w:cs="Times"/>
              </w:rPr>
              <w:t>RRC configuration issues</w:t>
            </w:r>
          </w:p>
          <w:p w14:paraId="2B8D6FD2" w14:textId="77777777" w:rsidR="006A1FC4" w:rsidRPr="00EE697F" w:rsidRDefault="006A1FC4" w:rsidP="004D0BB6">
            <w:pPr>
              <w:numPr>
                <w:ilvl w:val="1"/>
                <w:numId w:val="4"/>
              </w:numPr>
              <w:jc w:val="left"/>
              <w:rPr>
                <w:rFonts w:cs="Times"/>
              </w:rPr>
            </w:pPr>
            <w:r w:rsidRPr="00EE697F">
              <w:rPr>
                <w:rFonts w:cs="Times"/>
              </w:rPr>
              <w:t>Serving cell issues</w:t>
            </w:r>
          </w:p>
          <w:p w14:paraId="6C078F19" w14:textId="77777777" w:rsidR="006A1FC4" w:rsidRPr="00EE697F" w:rsidRDefault="006A1FC4" w:rsidP="004D0BB6">
            <w:pPr>
              <w:numPr>
                <w:ilvl w:val="1"/>
                <w:numId w:val="4"/>
              </w:numPr>
              <w:jc w:val="left"/>
              <w:rPr>
                <w:rFonts w:cs="Times"/>
              </w:rPr>
            </w:pPr>
            <w:r w:rsidRPr="00EE697F">
              <w:rPr>
                <w:rFonts w:cs="Times"/>
              </w:rPr>
              <w:t>C-RNTI issues</w:t>
            </w:r>
          </w:p>
          <w:p w14:paraId="79099AAE" w14:textId="77777777" w:rsidR="006A1FC4" w:rsidRPr="00EE697F" w:rsidRDefault="006A1FC4" w:rsidP="004D0BB6">
            <w:pPr>
              <w:numPr>
                <w:ilvl w:val="1"/>
                <w:numId w:val="4"/>
              </w:numPr>
              <w:jc w:val="left"/>
              <w:rPr>
                <w:rFonts w:cs="Times"/>
              </w:rPr>
            </w:pPr>
            <w:r w:rsidRPr="00EE697F">
              <w:rPr>
                <w:rFonts w:cs="Times"/>
              </w:rPr>
              <w:t>Issues related to CU-DU split</w:t>
            </w:r>
          </w:p>
          <w:p w14:paraId="007FF4EF" w14:textId="77777777" w:rsidR="006A1FC4" w:rsidRPr="00EE697F" w:rsidRDefault="006A1FC4" w:rsidP="004D0BB6">
            <w:pPr>
              <w:numPr>
                <w:ilvl w:val="1"/>
                <w:numId w:val="4"/>
              </w:numPr>
              <w:jc w:val="left"/>
              <w:rPr>
                <w:rFonts w:cs="Times"/>
              </w:rPr>
            </w:pPr>
            <w:r w:rsidRPr="00EE697F">
              <w:rPr>
                <w:rFonts w:cs="Times"/>
              </w:rPr>
              <w:t>Inter-band CA issues</w:t>
            </w:r>
          </w:p>
          <w:p w14:paraId="47E421B5" w14:textId="77777777" w:rsidR="006A1FC4" w:rsidRPr="00EE697F" w:rsidRDefault="006A1FC4" w:rsidP="004D0BB6">
            <w:pPr>
              <w:numPr>
                <w:ilvl w:val="1"/>
                <w:numId w:val="4"/>
              </w:numPr>
              <w:jc w:val="left"/>
              <w:rPr>
                <w:rFonts w:cs="Times"/>
              </w:rPr>
            </w:pPr>
            <w:r w:rsidRPr="00EE697F">
              <w:rPr>
                <w:rFonts w:cs="Times"/>
              </w:rPr>
              <w:t>Inter-frequency issues</w:t>
            </w:r>
          </w:p>
          <w:p w14:paraId="15EDEF07" w14:textId="77777777" w:rsidR="006A1FC4" w:rsidRDefault="006A1FC4" w:rsidP="004D0BB6">
            <w:pPr>
              <w:snapToGrid w:val="0"/>
            </w:pPr>
          </w:p>
        </w:tc>
      </w:tr>
    </w:tbl>
    <w:p w14:paraId="3011677A" w14:textId="77777777" w:rsidR="006A1FC4" w:rsidRDefault="006A1FC4" w:rsidP="006A1FC4">
      <w:pPr>
        <w:spacing w:after="120"/>
        <w:rPr>
          <w:sz w:val="20"/>
          <w:szCs w:val="20"/>
        </w:rPr>
      </w:pPr>
    </w:p>
    <w:p w14:paraId="26BB715D" w14:textId="77777777" w:rsidR="006A1FC4" w:rsidRDefault="006A1FC4" w:rsidP="006A1FC4">
      <w:pPr>
        <w:spacing w:after="120"/>
        <w:rPr>
          <w:sz w:val="20"/>
          <w:szCs w:val="20"/>
          <w:lang w:val="en-GB"/>
        </w:rPr>
      </w:pPr>
      <w:r>
        <w:rPr>
          <w:sz w:val="20"/>
          <w:szCs w:val="20"/>
        </w:rPr>
        <w:t xml:space="preserve">RAN1 seeks input from RAN4 on inter-band CA and inter-frequency issues in the context of </w:t>
      </w:r>
      <w:r w:rsidRPr="00255755">
        <w:rPr>
          <w:sz w:val="20"/>
          <w:szCs w:val="20"/>
          <w:lang w:val="en-GB"/>
        </w:rPr>
        <w:t>L1/L2-centric inter-cell mobility and inter-cell multi-TRP operations</w:t>
      </w:r>
      <w:r>
        <w:rPr>
          <w:sz w:val="20"/>
          <w:szCs w:val="20"/>
          <w:lang w:val="en-GB"/>
        </w:rPr>
        <w:t>.</w:t>
      </w:r>
    </w:p>
    <w:tbl>
      <w:tblPr>
        <w:tblStyle w:val="TableGrid"/>
        <w:tblW w:w="0" w:type="auto"/>
        <w:tblLook w:val="04A0" w:firstRow="1" w:lastRow="0" w:firstColumn="1" w:lastColumn="0" w:noHBand="0" w:noVBand="1"/>
      </w:tblPr>
      <w:tblGrid>
        <w:gridCol w:w="9350"/>
      </w:tblGrid>
      <w:tr w:rsidR="006A1FC4" w14:paraId="2BCBAE04" w14:textId="77777777" w:rsidTr="004D0BB6">
        <w:tc>
          <w:tcPr>
            <w:tcW w:w="9350" w:type="dxa"/>
          </w:tcPr>
          <w:p w14:paraId="7FF8BF8B" w14:textId="77777777" w:rsidR="006A1FC4" w:rsidRPr="00BC5064" w:rsidRDefault="006A1FC4" w:rsidP="004D0BB6">
            <w:pPr>
              <w:snapToGrid w:val="0"/>
              <w:rPr>
                <w:rFonts w:eastAsia="SimSun"/>
                <w:sz w:val="20"/>
                <w:szCs w:val="20"/>
                <w:lang w:val="en-GB" w:eastAsia="zh-CN"/>
              </w:rPr>
            </w:pPr>
            <w:r w:rsidRPr="00BC5064">
              <w:rPr>
                <w:rFonts w:eastAsia="SimSun"/>
                <w:b/>
                <w:bCs/>
                <w:sz w:val="20"/>
                <w:szCs w:val="20"/>
                <w:lang w:val="en-GB" w:eastAsia="zh-CN"/>
              </w:rPr>
              <w:lastRenderedPageBreak/>
              <w:t>Question 5</w:t>
            </w:r>
            <w:r w:rsidRPr="00BC5064">
              <w:rPr>
                <w:rFonts w:eastAsia="SimSun"/>
                <w:sz w:val="20"/>
                <w:szCs w:val="20"/>
                <w:lang w:val="en-GB" w:eastAsia="zh-CN"/>
              </w:rPr>
              <w:t>: In regard of CA issues, RAN1 is discussing whether the operation is supported only for intra-band CA scenario (</w:t>
            </w:r>
            <w:proofErr w:type="gramStart"/>
            <w:r w:rsidRPr="00BC5064">
              <w:rPr>
                <w:rFonts w:eastAsia="SimSun"/>
                <w:sz w:val="20"/>
                <w:szCs w:val="20"/>
                <w:lang w:val="en-GB" w:eastAsia="zh-CN"/>
              </w:rPr>
              <w:t>i.e.</w:t>
            </w:r>
            <w:proofErr w:type="gramEnd"/>
            <w:r w:rsidRPr="00BC5064">
              <w:rPr>
                <w:rFonts w:eastAsia="SimSun"/>
                <w:sz w:val="20"/>
                <w:szCs w:val="20"/>
                <w:lang w:val="en-GB" w:eastAsia="zh-CN"/>
              </w:rPr>
              <w:t xml:space="preserv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04D931A2" w14:textId="77777777" w:rsidR="006A1FC4" w:rsidRPr="00BC5064" w:rsidRDefault="006A1FC4" w:rsidP="004D0BB6">
            <w:pPr>
              <w:numPr>
                <w:ilvl w:val="0"/>
                <w:numId w:val="5"/>
              </w:numPr>
              <w:snapToGrid w:val="0"/>
              <w:contextualSpacing/>
              <w:jc w:val="left"/>
              <w:rPr>
                <w:rFonts w:eastAsia="Times New Roman"/>
                <w:sz w:val="20"/>
                <w:szCs w:val="20"/>
                <w:lang w:val="x-none" w:eastAsia="zh-CN"/>
              </w:rPr>
            </w:pPr>
            <w:r w:rsidRPr="00BC5064">
              <w:rPr>
                <w:rFonts w:eastAsia="Times New Roman"/>
                <w:sz w:val="20"/>
                <w:szCs w:val="20"/>
                <w:lang w:val="x-none" w:eastAsia="zh-CN"/>
              </w:rPr>
              <w:t xml:space="preserve">Are there specific </w:t>
            </w:r>
            <w:r w:rsidRPr="00BC5064">
              <w:rPr>
                <w:rFonts w:eastAsia="Times New Roman"/>
                <w:sz w:val="20"/>
                <w:szCs w:val="20"/>
                <w:lang w:eastAsia="zh-CN"/>
              </w:rPr>
              <w:t xml:space="preserve">RAN2/4 </w:t>
            </w:r>
            <w:r w:rsidRPr="00BC5064">
              <w:rPr>
                <w:rFonts w:eastAsia="Times New Roman"/>
                <w:sz w:val="20"/>
                <w:szCs w:val="20"/>
                <w:lang w:val="x-none" w:eastAsia="zh-CN"/>
              </w:rPr>
              <w:t xml:space="preserve">issues (including higher-layer impact) that need to be considered </w:t>
            </w:r>
            <w:r w:rsidRPr="00BC5064">
              <w:rPr>
                <w:rFonts w:eastAsia="Times New Roman"/>
                <w:sz w:val="20"/>
                <w:szCs w:val="20"/>
                <w:lang w:eastAsia="zh-CN"/>
              </w:rPr>
              <w:t>for deciding  between the two alternatives</w:t>
            </w:r>
            <w:r w:rsidRPr="00BC5064">
              <w:rPr>
                <w:rFonts w:eastAsia="Times New Roman"/>
                <w:sz w:val="20"/>
                <w:szCs w:val="20"/>
                <w:lang w:val="x-none" w:eastAsia="zh-CN"/>
              </w:rPr>
              <w:t xml:space="preserve">? </w:t>
            </w:r>
          </w:p>
          <w:p w14:paraId="1B51CA54" w14:textId="77777777" w:rsidR="006A1FC4" w:rsidRDefault="006A1FC4" w:rsidP="004D0BB6">
            <w:pPr>
              <w:snapToGrid w:val="0"/>
              <w:rPr>
                <w:rFonts w:eastAsia="SimSun"/>
                <w:b/>
                <w:bCs/>
                <w:sz w:val="20"/>
                <w:szCs w:val="20"/>
                <w:lang w:val="en-GB" w:eastAsia="zh-CN"/>
              </w:rPr>
            </w:pPr>
          </w:p>
        </w:tc>
      </w:tr>
    </w:tbl>
    <w:p w14:paraId="15213671" w14:textId="0E7FF3E5" w:rsidR="006A1FC4" w:rsidRDefault="006A1FC4" w:rsidP="005B410D">
      <w:pPr>
        <w:spacing w:after="120"/>
        <w:rPr>
          <w:rFonts w:eastAsia="SimSun"/>
          <w:sz w:val="20"/>
          <w:szCs w:val="20"/>
          <w:lang w:val="en-GB" w:eastAsia="en-GB"/>
        </w:rPr>
      </w:pPr>
    </w:p>
    <w:p w14:paraId="0AEB4E39" w14:textId="18FF5612" w:rsidR="006A1FC4" w:rsidRDefault="006A1FC4" w:rsidP="005B410D">
      <w:pPr>
        <w:spacing w:after="120"/>
        <w:rPr>
          <w:rFonts w:eastAsia="SimSun"/>
          <w:sz w:val="20"/>
          <w:szCs w:val="20"/>
          <w:lang w:val="en-GB" w:eastAsia="en-GB"/>
        </w:rPr>
      </w:pPr>
      <w:r>
        <w:rPr>
          <w:rFonts w:eastAsia="SimSun"/>
          <w:sz w:val="20"/>
          <w:szCs w:val="20"/>
          <w:lang w:val="en-GB" w:eastAsia="en-GB"/>
        </w:rPr>
        <w:t>For Question 5 above RAN4 needs further discussion and common understanding on the operation. Perhaps it is best to request further clarification from RAN1 to understand the operation and provide a more appropriate response.</w:t>
      </w:r>
      <w:r w:rsidR="002649C6">
        <w:rPr>
          <w:rFonts w:eastAsia="SimSun"/>
          <w:sz w:val="20"/>
          <w:szCs w:val="20"/>
          <w:lang w:val="en-GB" w:eastAsia="en-GB"/>
        </w:rPr>
        <w:t xml:space="preserve"> </w:t>
      </w:r>
    </w:p>
    <w:p w14:paraId="1695B806" w14:textId="2102CAEB" w:rsidR="00E4166E" w:rsidRPr="00E4166E" w:rsidRDefault="00E4166E" w:rsidP="005B410D">
      <w:pPr>
        <w:spacing w:after="120"/>
        <w:rPr>
          <w:rFonts w:eastAsia="SimSun"/>
          <w:b/>
          <w:bCs/>
          <w:sz w:val="20"/>
          <w:szCs w:val="20"/>
          <w:lang w:val="en-GB" w:eastAsia="en-GB"/>
        </w:rPr>
      </w:pPr>
      <w:r>
        <w:rPr>
          <w:rFonts w:eastAsia="SimSun"/>
          <w:b/>
          <w:bCs/>
          <w:sz w:val="20"/>
          <w:szCs w:val="20"/>
          <w:lang w:val="en-GB" w:eastAsia="en-GB"/>
        </w:rPr>
        <w:t xml:space="preserve">Proposal #1: Discuss further and agree on the implication of inter-band operation for L1/L2 centric mobility and inter-cell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and clarify with RAN1 to provide an appropriate response.  </w:t>
      </w:r>
    </w:p>
    <w:p w14:paraId="00A8485B" w14:textId="52EC7D09" w:rsidR="006A1FC4" w:rsidRDefault="006A1FC4" w:rsidP="005B410D">
      <w:pPr>
        <w:spacing w:after="120"/>
        <w:rPr>
          <w:rFonts w:eastAsia="SimSun"/>
          <w:sz w:val="20"/>
          <w:szCs w:val="20"/>
          <w:lang w:val="en-GB" w:eastAsia="en-GB"/>
        </w:rPr>
      </w:pPr>
    </w:p>
    <w:tbl>
      <w:tblPr>
        <w:tblStyle w:val="TableGrid"/>
        <w:tblW w:w="0" w:type="auto"/>
        <w:tblLook w:val="04A0" w:firstRow="1" w:lastRow="0" w:firstColumn="1" w:lastColumn="0" w:noHBand="0" w:noVBand="1"/>
      </w:tblPr>
      <w:tblGrid>
        <w:gridCol w:w="9350"/>
      </w:tblGrid>
      <w:tr w:rsidR="006A1FC4" w14:paraId="38E0433B" w14:textId="77777777" w:rsidTr="004D0BB6">
        <w:tc>
          <w:tcPr>
            <w:tcW w:w="9350" w:type="dxa"/>
          </w:tcPr>
          <w:p w14:paraId="191653DF" w14:textId="77777777" w:rsidR="006A1FC4" w:rsidRPr="00BC5064" w:rsidRDefault="006A1FC4" w:rsidP="004D0BB6">
            <w:pPr>
              <w:snapToGrid w:val="0"/>
              <w:rPr>
                <w:sz w:val="20"/>
                <w:szCs w:val="20"/>
                <w:lang w:eastAsia="zh-CN"/>
              </w:rPr>
            </w:pPr>
            <w:r w:rsidRPr="00BC5064">
              <w:rPr>
                <w:b/>
                <w:bCs/>
                <w:sz w:val="20"/>
                <w:szCs w:val="20"/>
                <w:lang w:eastAsia="zh-CN"/>
              </w:rPr>
              <w:t>Question 6</w:t>
            </w:r>
            <w:r w:rsidRPr="00BC5064">
              <w:rPr>
                <w:sz w:val="20"/>
                <w:szCs w:val="20"/>
                <w:lang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089C530E" w14:textId="77777777" w:rsidR="006A1FC4" w:rsidRPr="00BC5064" w:rsidRDefault="006A1FC4" w:rsidP="004D0BB6">
            <w:pPr>
              <w:pStyle w:val="ListParagraph"/>
              <w:numPr>
                <w:ilvl w:val="0"/>
                <w:numId w:val="6"/>
              </w:numPr>
              <w:snapToGrid w:val="0"/>
              <w:ind w:firstLineChars="0"/>
              <w:contextualSpacing/>
              <w:jc w:val="both"/>
              <w:rPr>
                <w:rFonts w:ascii="Times New Roman" w:hAnsi="Times New Roman" w:cs="Times New Roman"/>
                <w:sz w:val="20"/>
                <w:szCs w:val="20"/>
              </w:rPr>
            </w:pPr>
            <w:r w:rsidRPr="00BC5064">
              <w:rPr>
                <w:rFonts w:ascii="Times New Roman" w:hAnsi="Times New Roman" w:cs="Times New Roman"/>
                <w:sz w:val="20"/>
                <w:szCs w:val="20"/>
              </w:rPr>
              <w:t>Note: RAN1 has agreed to support intra-frequency scenarios, whereas the support for inter-frequency scenarios is still for further study.</w:t>
            </w:r>
          </w:p>
          <w:p w14:paraId="702AE6AC" w14:textId="77777777" w:rsidR="006A1FC4" w:rsidRDefault="006A1FC4" w:rsidP="004D0BB6">
            <w:pPr>
              <w:snapToGrid w:val="0"/>
              <w:rPr>
                <w:b/>
                <w:bCs/>
                <w:sz w:val="20"/>
                <w:szCs w:val="20"/>
                <w:lang w:eastAsia="zh-CN"/>
              </w:rPr>
            </w:pPr>
          </w:p>
        </w:tc>
      </w:tr>
    </w:tbl>
    <w:p w14:paraId="5585A207" w14:textId="77777777" w:rsidR="006A1FC4" w:rsidRDefault="006A1FC4" w:rsidP="005B410D">
      <w:pPr>
        <w:spacing w:after="120"/>
        <w:rPr>
          <w:rFonts w:eastAsia="SimSun"/>
          <w:sz w:val="20"/>
          <w:szCs w:val="20"/>
          <w:lang w:val="en-GB" w:eastAsia="en-GB"/>
        </w:rPr>
      </w:pPr>
    </w:p>
    <w:p w14:paraId="37D71BCF" w14:textId="1871B862" w:rsidR="00141956" w:rsidRDefault="00141956" w:rsidP="005B410D">
      <w:pPr>
        <w:spacing w:after="120"/>
        <w:rPr>
          <w:rFonts w:eastAsia="SimSun"/>
          <w:sz w:val="20"/>
          <w:szCs w:val="20"/>
          <w:lang w:val="en-GB" w:eastAsia="en-GB"/>
        </w:rPr>
      </w:pPr>
      <w:r>
        <w:rPr>
          <w:rFonts w:eastAsia="SimSun"/>
          <w:sz w:val="20"/>
          <w:szCs w:val="20"/>
          <w:lang w:val="en-GB" w:eastAsia="en-GB"/>
        </w:rPr>
        <w:t xml:space="preserve">Currently we don’t have requirements for L1 measurements on non-serving cell defined. </w:t>
      </w:r>
      <w:proofErr w:type="gramStart"/>
      <w:r>
        <w:rPr>
          <w:rFonts w:eastAsia="SimSun"/>
          <w:sz w:val="20"/>
          <w:szCs w:val="20"/>
          <w:lang w:val="en-GB" w:eastAsia="en-GB"/>
        </w:rPr>
        <w:t>In order to</w:t>
      </w:r>
      <w:proofErr w:type="gramEnd"/>
      <w:r>
        <w:rPr>
          <w:rFonts w:eastAsia="SimSun"/>
          <w:sz w:val="20"/>
          <w:szCs w:val="20"/>
          <w:lang w:val="en-GB" w:eastAsia="en-GB"/>
        </w:rPr>
        <w:t xml:space="preserve"> support measurements on inter-frequency NSC, we might need a configured measurement gap for the measurements. Also, the switching delay might need to account for additional time for active BWP switching delay. </w:t>
      </w:r>
    </w:p>
    <w:p w14:paraId="5DBB5680" w14:textId="43C048A8" w:rsidR="00141956" w:rsidRPr="00141956" w:rsidRDefault="00141956" w:rsidP="005B410D">
      <w:pPr>
        <w:spacing w:after="120"/>
        <w:rPr>
          <w:rFonts w:eastAsia="SimSun"/>
          <w:b/>
          <w:bCs/>
          <w:sz w:val="20"/>
          <w:szCs w:val="20"/>
          <w:lang w:val="en-GB" w:eastAsia="en-GB"/>
        </w:rPr>
      </w:pPr>
      <w:r>
        <w:rPr>
          <w:rFonts w:eastAsia="SimSun"/>
          <w:b/>
          <w:bCs/>
          <w:sz w:val="20"/>
          <w:szCs w:val="20"/>
          <w:lang w:val="en-GB" w:eastAsia="en-GB"/>
        </w:rPr>
        <w:t xml:space="preserve">Proposal #2: </w:t>
      </w:r>
      <w:r w:rsidR="00AC56A9">
        <w:rPr>
          <w:rFonts w:eastAsia="SimSun"/>
          <w:b/>
          <w:bCs/>
          <w:sz w:val="20"/>
          <w:szCs w:val="20"/>
          <w:lang w:val="en-GB" w:eastAsia="en-GB"/>
        </w:rPr>
        <w:t>[Proposed reply for Q6]</w:t>
      </w:r>
      <w:r>
        <w:rPr>
          <w:rFonts w:eastAsia="SimSun"/>
          <w:b/>
          <w:bCs/>
          <w:sz w:val="20"/>
          <w:szCs w:val="20"/>
          <w:lang w:val="en-GB" w:eastAsia="en-GB"/>
        </w:rPr>
        <w:t xml:space="preserve"> </w:t>
      </w:r>
      <w:r w:rsidR="00AC56A9">
        <w:rPr>
          <w:rFonts w:eastAsia="SimSun"/>
          <w:b/>
          <w:bCs/>
          <w:sz w:val="20"/>
          <w:szCs w:val="20"/>
          <w:lang w:val="en-GB" w:eastAsia="en-GB"/>
        </w:rPr>
        <w:t xml:space="preserve">In </w:t>
      </w:r>
      <w:r>
        <w:rPr>
          <w:rFonts w:eastAsia="SimSun"/>
          <w:b/>
          <w:bCs/>
          <w:sz w:val="20"/>
          <w:szCs w:val="20"/>
          <w:lang w:val="en-GB" w:eastAsia="en-GB"/>
        </w:rPr>
        <w:t xml:space="preserve">order to support measurements on </w:t>
      </w:r>
      <w:r w:rsidR="00AC56A9">
        <w:rPr>
          <w:rFonts w:eastAsia="SimSun"/>
          <w:b/>
          <w:bCs/>
          <w:sz w:val="20"/>
          <w:szCs w:val="20"/>
          <w:lang w:val="en-GB" w:eastAsia="en-GB"/>
        </w:rPr>
        <w:t>inter-frequency carrier, a measurement gap might be required</w:t>
      </w:r>
      <w:r w:rsidR="00067393">
        <w:rPr>
          <w:rFonts w:eastAsia="SimSun"/>
          <w:b/>
          <w:bCs/>
          <w:sz w:val="20"/>
          <w:szCs w:val="20"/>
          <w:lang w:val="en-GB" w:eastAsia="en-GB"/>
        </w:rPr>
        <w:t xml:space="preserve"> to support inter-frequency measurement</w:t>
      </w:r>
      <w:r w:rsidR="00AC56A9">
        <w:rPr>
          <w:rFonts w:eastAsia="SimSun"/>
          <w:b/>
          <w:bCs/>
          <w:sz w:val="20"/>
          <w:szCs w:val="20"/>
          <w:lang w:val="en-GB" w:eastAsia="en-GB"/>
        </w:rPr>
        <w:t xml:space="preserve">. In addition, the switching delay might need to </w:t>
      </w:r>
      <w:r w:rsidR="00067393">
        <w:rPr>
          <w:rFonts w:eastAsia="SimSun"/>
          <w:b/>
          <w:bCs/>
          <w:sz w:val="20"/>
          <w:szCs w:val="20"/>
          <w:lang w:val="en-GB" w:eastAsia="en-GB"/>
        </w:rPr>
        <w:t xml:space="preserve">be </w:t>
      </w:r>
      <w:r w:rsidR="00AC56A9">
        <w:rPr>
          <w:rFonts w:eastAsia="SimSun"/>
          <w:b/>
          <w:bCs/>
          <w:sz w:val="20"/>
          <w:szCs w:val="20"/>
          <w:lang w:val="en-GB" w:eastAsia="en-GB"/>
        </w:rPr>
        <w:t>account</w:t>
      </w:r>
      <w:r w:rsidR="00067393">
        <w:rPr>
          <w:rFonts w:eastAsia="SimSun"/>
          <w:b/>
          <w:bCs/>
          <w:sz w:val="20"/>
          <w:szCs w:val="20"/>
          <w:lang w:val="en-GB" w:eastAsia="en-GB"/>
        </w:rPr>
        <w:t>ed</w:t>
      </w:r>
      <w:r w:rsidR="00AC56A9">
        <w:rPr>
          <w:rFonts w:eastAsia="SimSun"/>
          <w:b/>
          <w:bCs/>
          <w:sz w:val="20"/>
          <w:szCs w:val="20"/>
          <w:lang w:val="en-GB" w:eastAsia="en-GB"/>
        </w:rPr>
        <w:t xml:space="preserve"> for additional time for active TCI state switch delay in case of inter-frequency cell. </w:t>
      </w:r>
    </w:p>
    <w:p w14:paraId="42FBD488" w14:textId="29C2277D" w:rsidR="006A1FC4" w:rsidRDefault="00141956" w:rsidP="005B410D">
      <w:pPr>
        <w:spacing w:after="120"/>
        <w:rPr>
          <w:rFonts w:eastAsia="SimSun"/>
          <w:sz w:val="20"/>
          <w:szCs w:val="20"/>
          <w:lang w:val="en-GB" w:eastAsia="en-GB"/>
        </w:rPr>
      </w:pPr>
      <w:r>
        <w:rPr>
          <w:rFonts w:eastAsia="SimSun"/>
          <w:sz w:val="20"/>
          <w:szCs w:val="20"/>
          <w:lang w:val="en-GB" w:eastAsia="en-GB"/>
        </w:rPr>
        <w:t xml:space="preserve">Prior to the switch UE is receiving dedicated channels on the serving cell and receiving SSB from the non-serving cell to make and report measurements. After the switch, it is unclear what the role of previous serving cell is. Also, it would be useful to clarify with RAN1 the term to identify the previous non-serving cell after the TCI state switch.  and the requirements for the UE on what signals it is expected to receive from the </w:t>
      </w:r>
    </w:p>
    <w:p w14:paraId="13958C28" w14:textId="2B047BD1" w:rsidR="006A1FC4" w:rsidRDefault="00AC56A9" w:rsidP="005B410D">
      <w:pPr>
        <w:spacing w:after="120"/>
        <w:rPr>
          <w:rFonts w:eastAsia="SimSun"/>
          <w:b/>
          <w:bCs/>
          <w:sz w:val="20"/>
          <w:szCs w:val="20"/>
          <w:lang w:val="en-GB" w:eastAsia="en-GB"/>
        </w:rPr>
      </w:pPr>
      <w:r>
        <w:rPr>
          <w:rFonts w:eastAsia="SimSun"/>
          <w:b/>
          <w:bCs/>
          <w:sz w:val="20"/>
          <w:szCs w:val="20"/>
          <w:lang w:val="en-GB" w:eastAsia="en-GB"/>
        </w:rPr>
        <w:t xml:space="preserve">Proposal #3: Clarify with RAN1 the expectation on receiving signals from different cells after the switch (TCI state) to new cell for dedicated channels. </w:t>
      </w:r>
    </w:p>
    <w:p w14:paraId="6322006A" w14:textId="59E702F7" w:rsidR="00B004DD" w:rsidRPr="0054748E" w:rsidRDefault="00B004DD" w:rsidP="00B004DD">
      <w:pPr>
        <w:pStyle w:val="Heading1"/>
        <w:rPr>
          <w:lang w:val="en-US"/>
        </w:rPr>
      </w:pPr>
      <w:r>
        <w:rPr>
          <w:lang w:val="en-US"/>
        </w:rPr>
        <w:t>3</w:t>
      </w:r>
      <w:r w:rsidRPr="0054748E">
        <w:rPr>
          <w:lang w:val="en-US"/>
        </w:rPr>
        <w:t xml:space="preserve">. </w:t>
      </w:r>
      <w:r w:rsidRPr="00146DD7">
        <w:rPr>
          <w:lang w:val="en-US"/>
        </w:rPr>
        <w:t>Timing Assumption for Inter-Cell DL Measurement</w:t>
      </w:r>
    </w:p>
    <w:p w14:paraId="2A76E0B0" w14:textId="77777777" w:rsidR="00B004DD" w:rsidRPr="0054748E" w:rsidRDefault="00B004DD" w:rsidP="00B004DD">
      <w:pPr>
        <w:spacing w:after="120"/>
        <w:rPr>
          <w:sz w:val="20"/>
          <w:szCs w:val="20"/>
        </w:rPr>
      </w:pPr>
      <w:r w:rsidRPr="0054748E">
        <w:rPr>
          <w:sz w:val="20"/>
          <w:szCs w:val="20"/>
        </w:rPr>
        <w:t>RAN1 has agreed to support L1-RSRP measurement and reporting for non-serving cell and has made the following agreements:</w:t>
      </w:r>
    </w:p>
    <w:tbl>
      <w:tblPr>
        <w:tblStyle w:val="TableGrid"/>
        <w:tblW w:w="0" w:type="auto"/>
        <w:tblLook w:val="04A0" w:firstRow="1" w:lastRow="0" w:firstColumn="1" w:lastColumn="0" w:noHBand="0" w:noVBand="1"/>
      </w:tblPr>
      <w:tblGrid>
        <w:gridCol w:w="9350"/>
      </w:tblGrid>
      <w:tr w:rsidR="00B004DD" w:rsidRPr="0054748E" w14:paraId="2F0D8570" w14:textId="77777777" w:rsidTr="00AF79D4">
        <w:tc>
          <w:tcPr>
            <w:tcW w:w="9350" w:type="dxa"/>
          </w:tcPr>
          <w:p w14:paraId="2D969548" w14:textId="77777777" w:rsidR="00B004DD" w:rsidRPr="00BA0164" w:rsidRDefault="00B004DD" w:rsidP="00AF79D4">
            <w:pPr>
              <w:snapToGrid w:val="0"/>
              <w:rPr>
                <w:rFonts w:eastAsia="SimSun"/>
                <w:sz w:val="22"/>
                <w:szCs w:val="20"/>
              </w:rPr>
            </w:pPr>
          </w:p>
          <w:p w14:paraId="04E9C0BA" w14:textId="77777777" w:rsidR="00B004DD" w:rsidRPr="00BA0164" w:rsidRDefault="00B004DD" w:rsidP="00AF79D4">
            <w:pPr>
              <w:snapToGrid w:val="0"/>
              <w:rPr>
                <w:rFonts w:eastAsia="SimSun"/>
                <w:b/>
                <w:sz w:val="20"/>
                <w:szCs w:val="20"/>
              </w:rPr>
            </w:pPr>
            <w:r w:rsidRPr="00BA0164">
              <w:rPr>
                <w:rFonts w:eastAsia="SimSun"/>
                <w:b/>
                <w:sz w:val="20"/>
                <w:szCs w:val="20"/>
                <w:highlight w:val="green"/>
              </w:rPr>
              <w:t>Agreement</w:t>
            </w:r>
          </w:p>
          <w:p w14:paraId="169363AF" w14:textId="77777777" w:rsidR="00B004DD" w:rsidRPr="00BA0164" w:rsidRDefault="00B004DD" w:rsidP="00AF79D4">
            <w:pPr>
              <w:snapToGrid w:val="0"/>
              <w:jc w:val="left"/>
              <w:rPr>
                <w:rFonts w:eastAsia="Batang"/>
                <w:sz w:val="20"/>
                <w:szCs w:val="20"/>
              </w:rPr>
            </w:pPr>
            <w:r w:rsidRPr="00BA0164">
              <w:rPr>
                <w:rFonts w:eastAsia="SimSun"/>
                <w:sz w:val="20"/>
                <w:szCs w:val="20"/>
              </w:rPr>
              <w:t xml:space="preserve">On Rel.17 multi beam measurement/reporting enhancements </w:t>
            </w:r>
            <w:r w:rsidRPr="00BA0164">
              <w:rPr>
                <w:rFonts w:eastAsia="SimSun"/>
                <w:color w:val="000000"/>
                <w:sz w:val="20"/>
                <w:szCs w:val="20"/>
              </w:rPr>
              <w:t xml:space="preserve">for L1/L2-centric inter-cell mobility and inter-cell </w:t>
            </w:r>
            <w:proofErr w:type="spellStart"/>
            <w:r w:rsidRPr="00BA0164">
              <w:rPr>
                <w:rFonts w:eastAsia="SimSun"/>
                <w:color w:val="000000"/>
                <w:sz w:val="20"/>
                <w:szCs w:val="20"/>
              </w:rPr>
              <w:t>mTRP</w:t>
            </w:r>
            <w:proofErr w:type="spellEnd"/>
            <w:r w:rsidRPr="00BA0164">
              <w:rPr>
                <w:rFonts w:eastAsia="Batang"/>
                <w:sz w:val="20"/>
                <w:szCs w:val="20"/>
              </w:rPr>
              <w:t>:</w:t>
            </w:r>
          </w:p>
          <w:p w14:paraId="2F63E852" w14:textId="77777777" w:rsidR="00B004DD" w:rsidRPr="00BA0164" w:rsidRDefault="00B004DD" w:rsidP="00B004DD">
            <w:pPr>
              <w:numPr>
                <w:ilvl w:val="0"/>
                <w:numId w:val="8"/>
              </w:numPr>
              <w:snapToGrid w:val="0"/>
              <w:jc w:val="left"/>
              <w:rPr>
                <w:rFonts w:eastAsia="Times New Roman"/>
                <w:sz w:val="20"/>
                <w:szCs w:val="20"/>
              </w:rPr>
            </w:pPr>
            <w:r w:rsidRPr="00BA0164">
              <w:rPr>
                <w:rFonts w:eastAsia="Times New Roman"/>
                <w:sz w:val="20"/>
                <w:szCs w:val="20"/>
              </w:rPr>
              <w:t>Rel.15 L1-RSRP is used as reporting quantity for measurement and reporting of non-serving-cell(s)</w:t>
            </w:r>
          </w:p>
          <w:p w14:paraId="26D47106" w14:textId="77777777" w:rsidR="00B004DD" w:rsidRPr="00BA0164" w:rsidRDefault="00B004DD" w:rsidP="00B004DD">
            <w:pPr>
              <w:numPr>
                <w:ilvl w:val="1"/>
                <w:numId w:val="8"/>
              </w:numPr>
              <w:snapToGrid w:val="0"/>
              <w:jc w:val="left"/>
              <w:rPr>
                <w:rFonts w:eastAsia="Times New Roman"/>
                <w:sz w:val="20"/>
                <w:szCs w:val="20"/>
              </w:rPr>
            </w:pPr>
            <w:r w:rsidRPr="00BA0164">
              <w:rPr>
                <w:rFonts w:eastAsia="Times New Roman"/>
                <w:sz w:val="20"/>
                <w:szCs w:val="20"/>
              </w:rPr>
              <w:t xml:space="preserve">Support SSB as a measurement RS for </w:t>
            </w:r>
            <w:r w:rsidRPr="00BA0164">
              <w:rPr>
                <w:rFonts w:eastAsia="Times New Roman"/>
                <w:color w:val="000000"/>
                <w:sz w:val="20"/>
                <w:szCs w:val="20"/>
              </w:rPr>
              <w:t xml:space="preserve">L1/L2-centric inter-cell mobility </w:t>
            </w:r>
            <w:r w:rsidRPr="00BA0164">
              <w:rPr>
                <w:rFonts w:eastAsia="Times New Roman"/>
                <w:sz w:val="20"/>
                <w:szCs w:val="20"/>
              </w:rPr>
              <w:t xml:space="preserve">and inter-cell </w:t>
            </w:r>
            <w:proofErr w:type="spellStart"/>
            <w:r w:rsidRPr="00BA0164">
              <w:rPr>
                <w:rFonts w:eastAsia="Times New Roman"/>
                <w:sz w:val="20"/>
                <w:szCs w:val="20"/>
              </w:rPr>
              <w:t>mTRP</w:t>
            </w:r>
            <w:proofErr w:type="spellEnd"/>
            <w:r w:rsidRPr="00BA0164">
              <w:rPr>
                <w:rFonts w:eastAsia="Times New Roman"/>
                <w:sz w:val="20"/>
                <w:szCs w:val="20"/>
              </w:rPr>
              <w:t>, and Rel.15 SS-RSRP calculated from SSB of non-serving cell(s)</w:t>
            </w:r>
          </w:p>
          <w:p w14:paraId="3F00C7D9" w14:textId="77777777" w:rsidR="00B004DD" w:rsidRPr="00BA0164" w:rsidRDefault="00B004DD" w:rsidP="00B004DD">
            <w:pPr>
              <w:numPr>
                <w:ilvl w:val="2"/>
                <w:numId w:val="8"/>
              </w:numPr>
              <w:snapToGrid w:val="0"/>
              <w:jc w:val="left"/>
              <w:rPr>
                <w:rFonts w:eastAsia="Times New Roman"/>
                <w:sz w:val="20"/>
                <w:szCs w:val="20"/>
              </w:rPr>
            </w:pPr>
            <w:r w:rsidRPr="00BA0164">
              <w:rPr>
                <w:rFonts w:eastAsia="Times New Roman"/>
                <w:bCs/>
                <w:sz w:val="20"/>
                <w:szCs w:val="20"/>
              </w:rPr>
              <w:t>FFS: Whether the measurement for SS-RSRP is limited within SMTC</w:t>
            </w:r>
          </w:p>
          <w:p w14:paraId="1BFFB36A" w14:textId="77777777" w:rsidR="00B004DD" w:rsidRPr="00BA0164" w:rsidRDefault="00B004DD" w:rsidP="00B004DD">
            <w:pPr>
              <w:numPr>
                <w:ilvl w:val="2"/>
                <w:numId w:val="8"/>
              </w:numPr>
              <w:snapToGrid w:val="0"/>
              <w:jc w:val="left"/>
              <w:rPr>
                <w:rFonts w:eastAsia="Times New Roman"/>
                <w:sz w:val="20"/>
                <w:szCs w:val="20"/>
              </w:rPr>
            </w:pPr>
            <w:r w:rsidRPr="00BA0164">
              <w:rPr>
                <w:rFonts w:eastAsia="Malgun Gothic"/>
                <w:sz w:val="20"/>
                <w:szCs w:val="20"/>
              </w:rPr>
              <w:t xml:space="preserve">FFS: Detailed reporting method, </w:t>
            </w:r>
            <w:proofErr w:type="gramStart"/>
            <w:r w:rsidRPr="00BA0164">
              <w:rPr>
                <w:rFonts w:eastAsia="Malgun Gothic"/>
                <w:sz w:val="20"/>
                <w:szCs w:val="20"/>
              </w:rPr>
              <w:t>e.g.</w:t>
            </w:r>
            <w:proofErr w:type="gramEnd"/>
            <w:r w:rsidRPr="00BA0164">
              <w:rPr>
                <w:rFonts w:eastAsia="Malgun Gothic"/>
                <w:sz w:val="20"/>
                <w:szCs w:val="20"/>
              </w:rPr>
              <w:t xml:space="preserve"> via including existing L1-RSRP report, UE-initiated report etc.</w:t>
            </w:r>
          </w:p>
          <w:p w14:paraId="3B92AC58" w14:textId="77777777" w:rsidR="00B004DD" w:rsidRPr="00BA0164" w:rsidRDefault="00B004DD" w:rsidP="00B004DD">
            <w:pPr>
              <w:numPr>
                <w:ilvl w:val="1"/>
                <w:numId w:val="8"/>
              </w:numPr>
              <w:snapToGrid w:val="0"/>
              <w:jc w:val="left"/>
              <w:rPr>
                <w:rFonts w:eastAsia="Times New Roman"/>
                <w:sz w:val="20"/>
                <w:szCs w:val="20"/>
              </w:rPr>
            </w:pPr>
            <w:r w:rsidRPr="00BA0164">
              <w:rPr>
                <w:rFonts w:eastAsia="Times New Roman"/>
                <w:sz w:val="20"/>
                <w:szCs w:val="20"/>
              </w:rPr>
              <w:t xml:space="preserve">FFS: Whether or not to support CSI-RS (for </w:t>
            </w:r>
            <w:proofErr w:type="gramStart"/>
            <w:r w:rsidRPr="00BA0164">
              <w:rPr>
                <w:rFonts w:eastAsia="Times New Roman"/>
                <w:sz w:val="20"/>
                <w:szCs w:val="20"/>
              </w:rPr>
              <w:t>e.g.</w:t>
            </w:r>
            <w:proofErr w:type="gramEnd"/>
            <w:r w:rsidRPr="00BA0164">
              <w:rPr>
                <w:rFonts w:eastAsia="Times New Roman"/>
                <w:sz w:val="20"/>
                <w:szCs w:val="20"/>
              </w:rPr>
              <w:t xml:space="preserve"> mobility and/or tracking) of non-serving cell(s) as a measurement RS for </w:t>
            </w:r>
            <w:r w:rsidRPr="00BA0164">
              <w:rPr>
                <w:rFonts w:eastAsia="Times New Roman"/>
                <w:color w:val="000000"/>
                <w:sz w:val="20"/>
                <w:szCs w:val="20"/>
              </w:rPr>
              <w:t xml:space="preserve">L1/L2-centric inter-cell mobility </w:t>
            </w:r>
            <w:r w:rsidRPr="00BA0164">
              <w:rPr>
                <w:rFonts w:eastAsia="Times New Roman"/>
                <w:sz w:val="20"/>
                <w:szCs w:val="20"/>
              </w:rPr>
              <w:t xml:space="preserve">and inter-cell </w:t>
            </w:r>
            <w:proofErr w:type="spellStart"/>
            <w:r w:rsidRPr="00BA0164">
              <w:rPr>
                <w:rFonts w:eastAsia="Times New Roman"/>
                <w:sz w:val="20"/>
                <w:szCs w:val="20"/>
              </w:rPr>
              <w:t>mTRP</w:t>
            </w:r>
            <w:proofErr w:type="spellEnd"/>
            <w:r w:rsidRPr="00BA0164">
              <w:rPr>
                <w:rFonts w:eastAsia="Times New Roman"/>
                <w:sz w:val="20"/>
                <w:szCs w:val="20"/>
              </w:rPr>
              <w:t xml:space="preserve">. If the </w:t>
            </w:r>
            <w:r w:rsidRPr="00BA0164">
              <w:rPr>
                <w:rFonts w:eastAsia="Times New Roman"/>
                <w:sz w:val="20"/>
                <w:szCs w:val="20"/>
              </w:rPr>
              <w:lastRenderedPageBreak/>
              <w:t xml:space="preserve">support of CSI-RS (for </w:t>
            </w:r>
            <w:proofErr w:type="gramStart"/>
            <w:r w:rsidRPr="00BA0164">
              <w:rPr>
                <w:rFonts w:eastAsia="Times New Roman"/>
                <w:sz w:val="20"/>
                <w:szCs w:val="20"/>
              </w:rPr>
              <w:t>e.g.</w:t>
            </w:r>
            <w:proofErr w:type="gramEnd"/>
            <w:r w:rsidRPr="00BA0164">
              <w:rPr>
                <w:rFonts w:eastAsia="Times New Roman"/>
                <w:sz w:val="20"/>
                <w:szCs w:val="20"/>
              </w:rPr>
              <w:t xml:space="preserve"> mobility and/or tracking) of non-serving cell(s) as a measurement RS for </w:t>
            </w:r>
            <w:r w:rsidRPr="00BA0164">
              <w:rPr>
                <w:rFonts w:eastAsia="Times New Roman"/>
                <w:color w:val="000000"/>
                <w:sz w:val="20"/>
                <w:szCs w:val="20"/>
              </w:rPr>
              <w:t xml:space="preserve">L1/L2-centric inter-cell mobility </w:t>
            </w:r>
            <w:r w:rsidRPr="00BA0164">
              <w:rPr>
                <w:rFonts w:eastAsia="Times New Roman"/>
                <w:sz w:val="20"/>
                <w:szCs w:val="20"/>
              </w:rPr>
              <w:t xml:space="preserve">and inter-cell </w:t>
            </w:r>
            <w:proofErr w:type="spellStart"/>
            <w:r w:rsidRPr="00BA0164">
              <w:rPr>
                <w:rFonts w:eastAsia="Times New Roman"/>
                <w:sz w:val="20"/>
                <w:szCs w:val="20"/>
              </w:rPr>
              <w:t>mTRP</w:t>
            </w:r>
            <w:proofErr w:type="spellEnd"/>
            <w:r w:rsidRPr="00BA0164">
              <w:rPr>
                <w:rFonts w:eastAsia="Times New Roman"/>
                <w:sz w:val="20"/>
                <w:szCs w:val="20"/>
              </w:rPr>
              <w:t xml:space="preserve"> is confirmed, Rel.15 CSI-RSRP is also supported  </w:t>
            </w:r>
          </w:p>
          <w:p w14:paraId="04EA86B6" w14:textId="77777777" w:rsidR="00B004DD" w:rsidRPr="00BA0164" w:rsidRDefault="00B004DD" w:rsidP="00B004DD">
            <w:pPr>
              <w:numPr>
                <w:ilvl w:val="2"/>
                <w:numId w:val="8"/>
              </w:numPr>
              <w:snapToGrid w:val="0"/>
              <w:jc w:val="left"/>
              <w:rPr>
                <w:rFonts w:eastAsia="Times New Roman"/>
                <w:sz w:val="20"/>
                <w:szCs w:val="20"/>
              </w:rPr>
            </w:pPr>
            <w:r w:rsidRPr="00BA0164">
              <w:rPr>
                <w:rFonts w:eastAsia="Times New Roman"/>
                <w:sz w:val="20"/>
                <w:szCs w:val="20"/>
              </w:rPr>
              <w:t>Whether the support applies to CSI-RS with or without QCL source, or both</w:t>
            </w:r>
          </w:p>
          <w:p w14:paraId="343EA652" w14:textId="77777777" w:rsidR="00B004DD" w:rsidRPr="00BA0164" w:rsidRDefault="00B004DD" w:rsidP="00B004DD">
            <w:pPr>
              <w:numPr>
                <w:ilvl w:val="1"/>
                <w:numId w:val="8"/>
              </w:numPr>
              <w:snapToGrid w:val="0"/>
              <w:jc w:val="left"/>
              <w:rPr>
                <w:rFonts w:eastAsia="Times New Roman"/>
                <w:sz w:val="20"/>
                <w:szCs w:val="20"/>
              </w:rPr>
            </w:pPr>
            <w:r w:rsidRPr="00BA0164">
              <w:rPr>
                <w:rFonts w:eastAsia="Times New Roman"/>
                <w:sz w:val="20"/>
                <w:szCs w:val="20"/>
              </w:rPr>
              <w:t xml:space="preserve">FFS: The number of non-serving cell(s) for measurement/reporting </w:t>
            </w:r>
          </w:p>
          <w:p w14:paraId="627F6616" w14:textId="77777777" w:rsidR="00B004DD" w:rsidRPr="00BA0164" w:rsidRDefault="00B004DD" w:rsidP="00B004DD">
            <w:pPr>
              <w:numPr>
                <w:ilvl w:val="1"/>
                <w:numId w:val="8"/>
              </w:numPr>
              <w:snapToGrid w:val="0"/>
              <w:jc w:val="left"/>
              <w:rPr>
                <w:rFonts w:eastAsia="Times New Roman"/>
                <w:sz w:val="20"/>
                <w:szCs w:val="20"/>
              </w:rPr>
            </w:pPr>
            <w:r w:rsidRPr="00BA0164">
              <w:rPr>
                <w:rFonts w:eastAsia="Times New Roman"/>
                <w:sz w:val="20"/>
                <w:szCs w:val="20"/>
              </w:rPr>
              <w:t xml:space="preserve">FFS: time behavior of the reporting, </w:t>
            </w:r>
            <w:proofErr w:type="gramStart"/>
            <w:r w:rsidRPr="00BA0164">
              <w:rPr>
                <w:rFonts w:eastAsia="Times New Roman"/>
                <w:sz w:val="20"/>
                <w:szCs w:val="20"/>
              </w:rPr>
              <w:t>i.e.</w:t>
            </w:r>
            <w:proofErr w:type="gramEnd"/>
            <w:r w:rsidRPr="00BA0164">
              <w:rPr>
                <w:rFonts w:eastAsia="Times New Roman"/>
                <w:sz w:val="20"/>
                <w:szCs w:val="20"/>
              </w:rPr>
              <w:t xml:space="preserve"> periodic, semi-persistent, aperiodic, or UE-initiated</w:t>
            </w:r>
          </w:p>
          <w:p w14:paraId="4C7C5313" w14:textId="77777777" w:rsidR="00B004DD" w:rsidRPr="00BA0164" w:rsidRDefault="00B004DD" w:rsidP="00B004DD">
            <w:pPr>
              <w:numPr>
                <w:ilvl w:val="0"/>
                <w:numId w:val="8"/>
              </w:numPr>
              <w:snapToGrid w:val="0"/>
              <w:jc w:val="left"/>
              <w:rPr>
                <w:rFonts w:eastAsia="Times New Roman"/>
                <w:sz w:val="20"/>
                <w:szCs w:val="20"/>
              </w:rPr>
            </w:pPr>
            <w:r w:rsidRPr="00BA0164">
              <w:rPr>
                <w:rFonts w:eastAsia="Times New Roman"/>
                <w:sz w:val="20"/>
                <w:szCs w:val="20"/>
              </w:rPr>
              <w:t xml:space="preserve">FFS: If other reporting quantities are supported, </w:t>
            </w:r>
            <w:proofErr w:type="gramStart"/>
            <w:r w:rsidRPr="00BA0164">
              <w:rPr>
                <w:rFonts w:eastAsia="Times New Roman"/>
                <w:sz w:val="20"/>
                <w:szCs w:val="20"/>
              </w:rPr>
              <w:t>e.g.</w:t>
            </w:r>
            <w:proofErr w:type="gramEnd"/>
            <w:r w:rsidRPr="00BA0164">
              <w:rPr>
                <w:rFonts w:eastAsia="Times New Roman"/>
                <w:sz w:val="20"/>
                <w:szCs w:val="20"/>
              </w:rPr>
              <w:t xml:space="preserve"> L3-RSRP, hybrid L1/L3-RSRP</w:t>
            </w:r>
          </w:p>
          <w:p w14:paraId="588BEE1F" w14:textId="77777777" w:rsidR="00B004DD" w:rsidRPr="00BA0164" w:rsidRDefault="00B004DD" w:rsidP="00B004DD">
            <w:pPr>
              <w:numPr>
                <w:ilvl w:val="0"/>
                <w:numId w:val="8"/>
              </w:numPr>
              <w:snapToGrid w:val="0"/>
              <w:jc w:val="left"/>
              <w:rPr>
                <w:rFonts w:eastAsia="Times New Roman"/>
                <w:sz w:val="20"/>
                <w:szCs w:val="20"/>
              </w:rPr>
            </w:pPr>
            <w:r w:rsidRPr="00BA0164">
              <w:rPr>
                <w:rFonts w:eastAsia="Times New Roman"/>
                <w:bCs/>
                <w:sz w:val="20"/>
                <w:szCs w:val="20"/>
              </w:rPr>
              <w:t>FFS: Dynamic activation/deactivation/selection of the beam measurement on the RS(s) associated with non-serving cell(s) via MAC CE</w:t>
            </w:r>
          </w:p>
          <w:p w14:paraId="0B3AFC86" w14:textId="77777777" w:rsidR="00B004DD" w:rsidRPr="00BA0164" w:rsidRDefault="00B004DD" w:rsidP="00B004DD">
            <w:pPr>
              <w:numPr>
                <w:ilvl w:val="0"/>
                <w:numId w:val="8"/>
              </w:numPr>
              <w:snapToGrid w:val="0"/>
              <w:jc w:val="left"/>
              <w:rPr>
                <w:rFonts w:eastAsia="Times New Roman"/>
                <w:sz w:val="20"/>
                <w:szCs w:val="20"/>
              </w:rPr>
            </w:pPr>
            <w:r w:rsidRPr="00BA0164">
              <w:rPr>
                <w:rFonts w:eastAsia="Times New Roman"/>
                <w:bCs/>
                <w:sz w:val="20"/>
                <w:szCs w:val="20"/>
              </w:rPr>
              <w:t xml:space="preserve">FFS: Timing assumption </w:t>
            </w:r>
            <w:r w:rsidRPr="00BA0164">
              <w:rPr>
                <w:rFonts w:eastAsia="Times New Roman"/>
                <w:sz w:val="20"/>
                <w:szCs w:val="20"/>
                <w:lang w:eastAsia="zh-CN"/>
              </w:rPr>
              <w:t>(</w:t>
            </w:r>
            <w:proofErr w:type="gramStart"/>
            <w:r w:rsidRPr="00BA0164">
              <w:rPr>
                <w:rFonts w:eastAsia="Times New Roman"/>
                <w:sz w:val="20"/>
                <w:szCs w:val="20"/>
                <w:lang w:eastAsia="zh-CN"/>
              </w:rPr>
              <w:t>e.g.</w:t>
            </w:r>
            <w:proofErr w:type="gramEnd"/>
            <w:r w:rsidRPr="00BA0164">
              <w:rPr>
                <w:rFonts w:eastAsia="Times New Roman"/>
                <w:sz w:val="20"/>
                <w:szCs w:val="20"/>
                <w:lang w:eastAsia="zh-CN"/>
              </w:rPr>
              <w:t xml:space="preserve"> time of arrival and time of the measurement)</w:t>
            </w:r>
            <w:r w:rsidRPr="00BA0164">
              <w:rPr>
                <w:rFonts w:eastAsia="Times New Roman"/>
                <w:bCs/>
                <w:sz w:val="20"/>
                <w:szCs w:val="20"/>
              </w:rPr>
              <w:t xml:space="preserve"> for measurement of non-serving cell RS measurement</w:t>
            </w:r>
          </w:p>
          <w:p w14:paraId="70F64B50" w14:textId="77777777" w:rsidR="00B004DD" w:rsidRPr="00BA0164" w:rsidRDefault="00B004DD" w:rsidP="00AF79D4">
            <w:pPr>
              <w:snapToGrid w:val="0"/>
              <w:rPr>
                <w:rFonts w:eastAsia="SimSun"/>
                <w:sz w:val="22"/>
                <w:szCs w:val="20"/>
              </w:rPr>
            </w:pPr>
          </w:p>
          <w:p w14:paraId="33B42377" w14:textId="77777777" w:rsidR="00B004DD" w:rsidRPr="00BA0164" w:rsidRDefault="00B004DD" w:rsidP="00AF79D4">
            <w:pPr>
              <w:snapToGrid w:val="0"/>
              <w:rPr>
                <w:rFonts w:eastAsia="SimSun"/>
                <w:b/>
                <w:sz w:val="20"/>
                <w:szCs w:val="20"/>
              </w:rPr>
            </w:pPr>
            <w:r w:rsidRPr="00BA0164">
              <w:rPr>
                <w:rFonts w:eastAsia="SimSun"/>
                <w:b/>
                <w:sz w:val="20"/>
                <w:szCs w:val="20"/>
                <w:highlight w:val="green"/>
              </w:rPr>
              <w:t>Agreement</w:t>
            </w:r>
          </w:p>
          <w:p w14:paraId="20C1592F" w14:textId="77777777" w:rsidR="00B004DD" w:rsidRPr="00BA0164" w:rsidRDefault="00B004DD" w:rsidP="00AF79D4">
            <w:pPr>
              <w:snapToGrid w:val="0"/>
              <w:jc w:val="left"/>
              <w:rPr>
                <w:rFonts w:eastAsia="Batang"/>
                <w:sz w:val="20"/>
                <w:szCs w:val="24"/>
              </w:rPr>
            </w:pPr>
            <w:r w:rsidRPr="00BA0164">
              <w:rPr>
                <w:rFonts w:eastAsia="Batang"/>
                <w:sz w:val="20"/>
                <w:szCs w:val="24"/>
              </w:rPr>
              <w:t xml:space="preserve">On Rel.17 multi-beam measurement/reporting enhancements </w:t>
            </w:r>
            <w:r w:rsidRPr="00BA0164">
              <w:rPr>
                <w:rFonts w:eastAsia="Batang"/>
                <w:color w:val="000000"/>
                <w:sz w:val="20"/>
                <w:szCs w:val="24"/>
              </w:rPr>
              <w:t xml:space="preserve">for L1/L2-centric inter-cell mobility and inter-cell </w:t>
            </w:r>
            <w:proofErr w:type="spellStart"/>
            <w:r w:rsidRPr="00BA0164">
              <w:rPr>
                <w:rFonts w:eastAsia="Batang"/>
                <w:color w:val="000000"/>
                <w:sz w:val="20"/>
                <w:szCs w:val="24"/>
              </w:rPr>
              <w:t>mTRP</w:t>
            </w:r>
            <w:proofErr w:type="spellEnd"/>
            <w:r w:rsidRPr="00BA0164">
              <w:rPr>
                <w:rFonts w:eastAsia="Batang"/>
                <w:sz w:val="20"/>
                <w:szCs w:val="24"/>
              </w:rPr>
              <w:t xml:space="preserve">, </w:t>
            </w:r>
          </w:p>
          <w:p w14:paraId="34872875" w14:textId="77777777" w:rsidR="00B004DD" w:rsidRPr="00BA0164" w:rsidRDefault="00B004DD" w:rsidP="00B004DD">
            <w:pPr>
              <w:numPr>
                <w:ilvl w:val="0"/>
                <w:numId w:val="9"/>
              </w:numPr>
              <w:autoSpaceDN w:val="0"/>
              <w:snapToGrid w:val="0"/>
              <w:jc w:val="left"/>
              <w:rPr>
                <w:rFonts w:eastAsia="Batang"/>
                <w:sz w:val="20"/>
                <w:szCs w:val="24"/>
              </w:rPr>
            </w:pPr>
            <w:r w:rsidRPr="00BA0164">
              <w:rPr>
                <w:rFonts w:eastAsia="Batang"/>
                <w:sz w:val="20"/>
                <w:szCs w:val="24"/>
              </w:rPr>
              <w:t xml:space="preserve">In one reporting instance, depending on NW configuration, beam(s) associated with a non-serving cell can be mixed with that associated with </w:t>
            </w:r>
            <w:proofErr w:type="gramStart"/>
            <w:r w:rsidRPr="00BA0164">
              <w:rPr>
                <w:rFonts w:eastAsia="Batang"/>
                <w:sz w:val="20"/>
                <w:szCs w:val="24"/>
              </w:rPr>
              <w:t>serving-cell</w:t>
            </w:r>
            <w:proofErr w:type="gramEnd"/>
            <w:r w:rsidRPr="00BA0164">
              <w:rPr>
                <w:rFonts w:eastAsia="Batang"/>
                <w:sz w:val="20"/>
                <w:szCs w:val="24"/>
              </w:rPr>
              <w:t xml:space="preserve"> </w:t>
            </w:r>
          </w:p>
          <w:p w14:paraId="4027D5D0" w14:textId="77777777" w:rsidR="00B004DD" w:rsidRPr="00BA0164" w:rsidRDefault="00B004DD" w:rsidP="00B004DD">
            <w:pPr>
              <w:numPr>
                <w:ilvl w:val="1"/>
                <w:numId w:val="9"/>
              </w:numPr>
              <w:autoSpaceDN w:val="0"/>
              <w:snapToGrid w:val="0"/>
              <w:jc w:val="left"/>
              <w:rPr>
                <w:rFonts w:eastAsia="Batang"/>
                <w:sz w:val="20"/>
                <w:szCs w:val="24"/>
              </w:rPr>
            </w:pPr>
            <w:r w:rsidRPr="00BA0164">
              <w:rPr>
                <w:rFonts w:eastAsia="Batang"/>
                <w:sz w:val="20"/>
                <w:szCs w:val="24"/>
              </w:rPr>
              <w:t>FFS: whether this applies to periodic, semi-persistent, and/or aperiodic</w:t>
            </w:r>
          </w:p>
          <w:p w14:paraId="53426713" w14:textId="77777777" w:rsidR="00B004DD" w:rsidRPr="00BA0164" w:rsidRDefault="00B004DD" w:rsidP="00B004DD">
            <w:pPr>
              <w:numPr>
                <w:ilvl w:val="1"/>
                <w:numId w:val="9"/>
              </w:numPr>
              <w:autoSpaceDN w:val="0"/>
              <w:snapToGrid w:val="0"/>
              <w:jc w:val="left"/>
              <w:rPr>
                <w:rFonts w:eastAsia="Batang"/>
                <w:sz w:val="20"/>
                <w:szCs w:val="24"/>
              </w:rPr>
            </w:pPr>
            <w:r w:rsidRPr="00BA0164">
              <w:rPr>
                <w:rFonts w:eastAsia="DengXian"/>
                <w:bCs/>
                <w:sz w:val="20"/>
                <w:szCs w:val="24"/>
              </w:rPr>
              <w:t xml:space="preserve">FFS: How to report the K beams and corresponding qualities if the Tx power among the non-serving cell and with </w:t>
            </w:r>
            <w:proofErr w:type="gramStart"/>
            <w:r w:rsidRPr="00BA0164">
              <w:rPr>
                <w:rFonts w:eastAsia="DengXian"/>
                <w:bCs/>
                <w:sz w:val="20"/>
                <w:szCs w:val="24"/>
              </w:rPr>
              <w:t>serving-cell</w:t>
            </w:r>
            <w:proofErr w:type="gramEnd"/>
            <w:r w:rsidRPr="00BA0164">
              <w:rPr>
                <w:rFonts w:eastAsia="DengXian"/>
                <w:bCs/>
                <w:sz w:val="20"/>
                <w:szCs w:val="24"/>
              </w:rPr>
              <w:t xml:space="preserve"> is not the same</w:t>
            </w:r>
          </w:p>
          <w:p w14:paraId="35792DED" w14:textId="77777777" w:rsidR="00B004DD" w:rsidRPr="00BA0164" w:rsidRDefault="00B004DD" w:rsidP="00B004DD">
            <w:pPr>
              <w:numPr>
                <w:ilvl w:val="1"/>
                <w:numId w:val="9"/>
              </w:numPr>
              <w:autoSpaceDN w:val="0"/>
              <w:snapToGrid w:val="0"/>
              <w:jc w:val="left"/>
              <w:rPr>
                <w:rFonts w:eastAsia="Batang"/>
                <w:sz w:val="20"/>
                <w:szCs w:val="24"/>
              </w:rPr>
            </w:pPr>
            <w:r w:rsidRPr="00BA0164">
              <w:rPr>
                <w:rFonts w:eastAsia="DengXian"/>
                <w:bCs/>
                <w:sz w:val="20"/>
                <w:szCs w:val="24"/>
              </w:rPr>
              <w:t xml:space="preserve">Note: The supported numbers of non-serving cells (in terms of measurement/reporting) have not yet been decided. The above description doesn’t imply only one non-serving cell </w:t>
            </w:r>
            <w:proofErr w:type="gramStart"/>
            <w:r w:rsidRPr="00BA0164">
              <w:rPr>
                <w:rFonts w:eastAsia="DengXian"/>
                <w:bCs/>
                <w:sz w:val="20"/>
                <w:szCs w:val="24"/>
              </w:rPr>
              <w:t>is allowed to</w:t>
            </w:r>
            <w:proofErr w:type="gramEnd"/>
            <w:r w:rsidRPr="00BA0164">
              <w:rPr>
                <w:rFonts w:eastAsia="DengXian"/>
                <w:bCs/>
                <w:sz w:val="20"/>
                <w:szCs w:val="24"/>
              </w:rPr>
              <w:t xml:space="preserve"> be configured for measurement. Nor does this imply that only one non-serving cell is allowed in one reporting instance.</w:t>
            </w:r>
          </w:p>
          <w:p w14:paraId="04E3B7C4" w14:textId="77777777" w:rsidR="00B004DD" w:rsidRPr="0054748E" w:rsidRDefault="00B004DD" w:rsidP="00AF79D4"/>
        </w:tc>
      </w:tr>
    </w:tbl>
    <w:p w14:paraId="34C4EC1C" w14:textId="77777777" w:rsidR="00B004DD" w:rsidRPr="0054748E" w:rsidRDefault="00B004DD" w:rsidP="00B004DD"/>
    <w:p w14:paraId="01A2C086" w14:textId="77777777" w:rsidR="00B004DD" w:rsidRPr="0054748E" w:rsidRDefault="00B004DD" w:rsidP="00B004DD">
      <w:pPr>
        <w:spacing w:after="120"/>
        <w:rPr>
          <w:sz w:val="20"/>
          <w:szCs w:val="20"/>
        </w:rPr>
      </w:pPr>
      <w:r w:rsidRPr="0054748E">
        <w:rPr>
          <w:sz w:val="20"/>
          <w:szCs w:val="20"/>
        </w:rPr>
        <w:t>In addition, RAN1 clarifies the following:</w:t>
      </w:r>
    </w:p>
    <w:p w14:paraId="5BC079B1" w14:textId="77777777" w:rsidR="00B004DD" w:rsidRPr="0054748E" w:rsidRDefault="00B004DD" w:rsidP="00B004DD">
      <w:pPr>
        <w:pStyle w:val="ListParagraph"/>
        <w:numPr>
          <w:ilvl w:val="0"/>
          <w:numId w:val="10"/>
        </w:numPr>
        <w:snapToGrid w:val="0"/>
        <w:ind w:firstLineChars="0"/>
        <w:contextualSpacing/>
        <w:jc w:val="both"/>
        <w:rPr>
          <w:rFonts w:ascii="Times New Roman" w:hAnsi="Times New Roman" w:cs="Times New Roman"/>
          <w:sz w:val="20"/>
          <w:szCs w:val="20"/>
        </w:rPr>
      </w:pPr>
      <w:r w:rsidRPr="0054748E">
        <w:rPr>
          <w:rFonts w:ascii="Times New Roman" w:hAnsi="Times New Roman" w:cs="Times New Roman"/>
          <w:sz w:val="20"/>
          <w:szCs w:val="20"/>
        </w:rPr>
        <w:t>Only SSB has been agreed to be used for non-serving cell measurement RS. CSI-RS is still TBD</w:t>
      </w:r>
    </w:p>
    <w:p w14:paraId="0209712B" w14:textId="77777777" w:rsidR="00B004DD" w:rsidRPr="0054748E" w:rsidRDefault="00B004DD" w:rsidP="00B004DD">
      <w:pPr>
        <w:pStyle w:val="ListParagraph"/>
        <w:numPr>
          <w:ilvl w:val="0"/>
          <w:numId w:val="10"/>
        </w:numPr>
        <w:snapToGrid w:val="0"/>
        <w:ind w:firstLineChars="0"/>
        <w:contextualSpacing/>
        <w:jc w:val="both"/>
        <w:rPr>
          <w:rFonts w:ascii="Times New Roman" w:hAnsi="Times New Roman" w:cs="Times New Roman"/>
          <w:sz w:val="20"/>
          <w:szCs w:val="20"/>
        </w:rPr>
      </w:pPr>
      <w:r w:rsidRPr="0054748E">
        <w:rPr>
          <w:rFonts w:ascii="Times New Roman" w:hAnsi="Times New Roman" w:cs="Times New Roman"/>
          <w:sz w:val="20"/>
          <w:szCs w:val="20"/>
        </w:rPr>
        <w:t>Only intra-frequency measurement has been agreed and inter-frequency measurement is still TBD</w:t>
      </w:r>
    </w:p>
    <w:p w14:paraId="3F4732D9" w14:textId="77777777" w:rsidR="00B004DD" w:rsidRPr="0054748E" w:rsidRDefault="00B004DD" w:rsidP="00B004DD"/>
    <w:p w14:paraId="29767977" w14:textId="77777777" w:rsidR="00B004DD" w:rsidRPr="0054748E" w:rsidRDefault="00B004DD" w:rsidP="00B004DD">
      <w:pPr>
        <w:spacing w:after="120"/>
        <w:rPr>
          <w:sz w:val="20"/>
          <w:szCs w:val="20"/>
        </w:rPr>
      </w:pPr>
      <w:r w:rsidRPr="0054748E">
        <w:rPr>
          <w:sz w:val="20"/>
          <w:szCs w:val="20"/>
        </w:rPr>
        <w:t>RAN1 seeks input from RAN4 on the following questions related to DL timing assumptions.</w:t>
      </w:r>
    </w:p>
    <w:tbl>
      <w:tblPr>
        <w:tblStyle w:val="TableGrid"/>
        <w:tblW w:w="0" w:type="auto"/>
        <w:tblLook w:val="04A0" w:firstRow="1" w:lastRow="0" w:firstColumn="1" w:lastColumn="0" w:noHBand="0" w:noVBand="1"/>
      </w:tblPr>
      <w:tblGrid>
        <w:gridCol w:w="9350"/>
      </w:tblGrid>
      <w:tr w:rsidR="00B004DD" w:rsidRPr="0054748E" w14:paraId="4CBD586A" w14:textId="77777777" w:rsidTr="00AF79D4">
        <w:tc>
          <w:tcPr>
            <w:tcW w:w="9350" w:type="dxa"/>
          </w:tcPr>
          <w:p w14:paraId="411E916A" w14:textId="77777777" w:rsidR="00B004DD" w:rsidRPr="0054748E" w:rsidRDefault="00B004DD" w:rsidP="00AF79D4">
            <w:pPr>
              <w:spacing w:after="120"/>
              <w:rPr>
                <w:sz w:val="20"/>
                <w:szCs w:val="20"/>
              </w:rPr>
            </w:pPr>
            <w:r w:rsidRPr="00BA0164">
              <w:rPr>
                <w:b/>
                <w:bCs/>
                <w:sz w:val="20"/>
                <w:szCs w:val="20"/>
              </w:rPr>
              <w:t>Question 1</w:t>
            </w:r>
            <w:r w:rsidRPr="00BA0164">
              <w:rPr>
                <w:sz w:val="20"/>
                <w:szCs w:val="20"/>
              </w:rPr>
              <w:t>: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w:t>
            </w:r>
          </w:p>
        </w:tc>
      </w:tr>
    </w:tbl>
    <w:p w14:paraId="16F5AA3C" w14:textId="77777777" w:rsidR="00B004DD" w:rsidRPr="0054748E" w:rsidRDefault="00B004DD" w:rsidP="00B004DD">
      <w:pPr>
        <w:spacing w:after="120"/>
        <w:rPr>
          <w:sz w:val="20"/>
          <w:szCs w:val="20"/>
        </w:rPr>
      </w:pPr>
    </w:p>
    <w:p w14:paraId="69907D76" w14:textId="77777777" w:rsidR="00B004DD" w:rsidRDefault="00B004DD" w:rsidP="00B004DD">
      <w:pPr>
        <w:spacing w:after="120"/>
        <w:rPr>
          <w:sz w:val="20"/>
          <w:szCs w:val="20"/>
        </w:rPr>
      </w:pPr>
      <w:r w:rsidRPr="0054748E">
        <w:rPr>
          <w:sz w:val="20"/>
          <w:szCs w:val="20"/>
        </w:rPr>
        <w:t xml:space="preserve">UE is configured SMTC for </w:t>
      </w:r>
      <w:r>
        <w:rPr>
          <w:sz w:val="20"/>
          <w:szCs w:val="20"/>
        </w:rPr>
        <w:t xml:space="preserve">L3 </w:t>
      </w:r>
      <w:r w:rsidRPr="0054748E">
        <w:rPr>
          <w:sz w:val="20"/>
          <w:szCs w:val="20"/>
        </w:rPr>
        <w:t xml:space="preserve">measurements </w:t>
      </w:r>
      <w:r>
        <w:rPr>
          <w:sz w:val="20"/>
          <w:szCs w:val="20"/>
        </w:rPr>
        <w:t xml:space="preserve">on the </w:t>
      </w:r>
      <w:r w:rsidRPr="0054748E">
        <w:rPr>
          <w:sz w:val="20"/>
          <w:szCs w:val="20"/>
        </w:rPr>
        <w:t>neighbor cell</w:t>
      </w:r>
      <w:r>
        <w:rPr>
          <w:sz w:val="20"/>
          <w:szCs w:val="20"/>
        </w:rPr>
        <w:t>. The SMTC periodicity and duration is to cater to all neighbor cells to be measured and it could be very likely that the SMTC periodicity is larger than the SSB periodicity of the cell being measured. During the SMTC the neighbor cell needs to be detected and measured. Due to the larger periodicity of SMTC than the SSB of neighbor cell, a longer measurement period would be needed if the measurement is limited to SMTC.  The benefit of limiting L1-RSRP measurements for non-serving cells to SMTC, the existing framework of neighbor cell L3 measurements could be used. On the other hand, by allowing L1-RSRP measurements on non-serving cells to be made outside SMTC, the measurement could take shorter than if limited to SMTC.</w:t>
      </w:r>
    </w:p>
    <w:p w14:paraId="672A0483" w14:textId="77777777" w:rsidR="00B004DD" w:rsidRDefault="00B004DD" w:rsidP="00B004DD">
      <w:pPr>
        <w:spacing w:after="120"/>
        <w:rPr>
          <w:i/>
          <w:iCs/>
          <w:sz w:val="20"/>
          <w:szCs w:val="20"/>
        </w:rPr>
      </w:pPr>
      <w:r>
        <w:rPr>
          <w:b/>
          <w:bCs/>
          <w:i/>
          <w:iCs/>
          <w:sz w:val="20"/>
          <w:szCs w:val="20"/>
        </w:rPr>
        <w:t xml:space="preserve">Observation #1: </w:t>
      </w:r>
      <w:r>
        <w:rPr>
          <w:i/>
          <w:iCs/>
          <w:sz w:val="20"/>
          <w:szCs w:val="20"/>
        </w:rPr>
        <w:t>SMTC periodicity could be longer than SSB periodicity of non-serving cell to be measured.</w:t>
      </w:r>
    </w:p>
    <w:p w14:paraId="51FBFDF7" w14:textId="77777777" w:rsidR="00B004DD" w:rsidRDefault="00B004DD" w:rsidP="00B004DD">
      <w:pPr>
        <w:spacing w:after="120"/>
        <w:rPr>
          <w:i/>
          <w:iCs/>
          <w:sz w:val="20"/>
          <w:szCs w:val="20"/>
        </w:rPr>
      </w:pPr>
      <w:r w:rsidRPr="008668B9">
        <w:rPr>
          <w:b/>
          <w:bCs/>
          <w:i/>
          <w:iCs/>
          <w:sz w:val="20"/>
          <w:szCs w:val="20"/>
        </w:rPr>
        <w:t>Observation #2:</w:t>
      </w:r>
      <w:r>
        <w:rPr>
          <w:i/>
          <w:iCs/>
          <w:sz w:val="20"/>
          <w:szCs w:val="20"/>
        </w:rPr>
        <w:t xml:space="preserve"> Benefit of limiting L1-RSRP measurements of non-serving cell to SMTC would use the existing framework for L3 neighbor cell measurement.</w:t>
      </w:r>
    </w:p>
    <w:p w14:paraId="4B4AC78B" w14:textId="77777777" w:rsidR="00B004DD" w:rsidRPr="002E0724" w:rsidRDefault="00B004DD" w:rsidP="00B004DD">
      <w:pPr>
        <w:spacing w:after="120"/>
        <w:rPr>
          <w:i/>
          <w:iCs/>
          <w:sz w:val="20"/>
          <w:szCs w:val="20"/>
        </w:rPr>
      </w:pPr>
      <w:r w:rsidRPr="008668B9">
        <w:rPr>
          <w:b/>
          <w:bCs/>
          <w:i/>
          <w:iCs/>
          <w:sz w:val="20"/>
          <w:szCs w:val="20"/>
        </w:rPr>
        <w:t>Observation #3:</w:t>
      </w:r>
      <w:r>
        <w:rPr>
          <w:i/>
          <w:iCs/>
          <w:sz w:val="20"/>
          <w:szCs w:val="20"/>
        </w:rPr>
        <w:t xml:space="preserve"> Allowing for measurements of L1-RSRP of non-serving cell outside SMTC would potentially shorten the measurement </w:t>
      </w:r>
      <w:proofErr w:type="gramStart"/>
      <w:r>
        <w:rPr>
          <w:i/>
          <w:iCs/>
          <w:sz w:val="20"/>
          <w:szCs w:val="20"/>
        </w:rPr>
        <w:t>time, if</w:t>
      </w:r>
      <w:proofErr w:type="gramEnd"/>
      <w:r>
        <w:rPr>
          <w:i/>
          <w:iCs/>
          <w:sz w:val="20"/>
          <w:szCs w:val="20"/>
        </w:rPr>
        <w:t xml:space="preserve"> measurement is made based on SSB periodicity rather than SMTC.</w:t>
      </w:r>
    </w:p>
    <w:p w14:paraId="0ED5FF08" w14:textId="4C4C584B" w:rsidR="00B004DD" w:rsidRPr="008668B9" w:rsidRDefault="00B004DD" w:rsidP="00B004DD">
      <w:pPr>
        <w:spacing w:after="120"/>
        <w:rPr>
          <w:b/>
          <w:bCs/>
          <w:sz w:val="20"/>
          <w:szCs w:val="20"/>
        </w:rPr>
      </w:pPr>
      <w:r>
        <w:rPr>
          <w:b/>
          <w:bCs/>
          <w:sz w:val="20"/>
          <w:szCs w:val="20"/>
        </w:rPr>
        <w:t xml:space="preserve">Proposal #4: </w:t>
      </w:r>
      <w:r w:rsidRPr="008668B9">
        <w:rPr>
          <w:b/>
          <w:bCs/>
          <w:sz w:val="20"/>
          <w:szCs w:val="20"/>
        </w:rPr>
        <w:t>[Proposed Response</w:t>
      </w:r>
      <w:r>
        <w:rPr>
          <w:b/>
          <w:bCs/>
          <w:sz w:val="20"/>
          <w:szCs w:val="20"/>
        </w:rPr>
        <w:t xml:space="preserve"> to Question 1</w:t>
      </w:r>
      <w:r w:rsidRPr="008668B9">
        <w:rPr>
          <w:b/>
          <w:bCs/>
          <w:sz w:val="20"/>
          <w:szCs w:val="20"/>
        </w:rPr>
        <w:t>]</w:t>
      </w:r>
    </w:p>
    <w:p w14:paraId="42A5A016" w14:textId="77777777" w:rsidR="00B004DD" w:rsidRPr="00BA0164" w:rsidRDefault="00B004DD" w:rsidP="00B004DD">
      <w:pPr>
        <w:spacing w:after="120"/>
        <w:ind w:left="450"/>
        <w:rPr>
          <w:sz w:val="20"/>
          <w:szCs w:val="20"/>
        </w:rPr>
      </w:pPr>
      <w:r>
        <w:rPr>
          <w:sz w:val="20"/>
          <w:szCs w:val="20"/>
        </w:rPr>
        <w:lastRenderedPageBreak/>
        <w:t>The SMTC periodicity could be larger than SSB periodicity of non-serving cell to be measured. The b</w:t>
      </w:r>
      <w:r w:rsidRPr="008668B9">
        <w:rPr>
          <w:sz w:val="20"/>
          <w:szCs w:val="20"/>
        </w:rPr>
        <w:t>enefit of limiting L1-RSRP measurements of non-serving cell to SMTC would use the existing framework for L3 neighbor cell measurement.</w:t>
      </w:r>
      <w:r>
        <w:rPr>
          <w:sz w:val="20"/>
          <w:szCs w:val="20"/>
        </w:rPr>
        <w:t xml:space="preserve"> On the other hand, </w:t>
      </w:r>
      <w:r w:rsidRPr="008668B9">
        <w:rPr>
          <w:sz w:val="20"/>
          <w:szCs w:val="20"/>
        </w:rPr>
        <w:t>allowing for measurements of L1-RSRP of non-serving cell outside SMTC would potentially shorten the measurement time, if measurement is made based on SSB periodicity rather than SMTC.</w:t>
      </w:r>
    </w:p>
    <w:p w14:paraId="66FB3F16" w14:textId="77777777" w:rsidR="00B004DD" w:rsidRPr="0054748E" w:rsidRDefault="00B004DD" w:rsidP="00B004DD">
      <w:pPr>
        <w:spacing w:after="120"/>
        <w:rPr>
          <w:b/>
          <w:bCs/>
          <w:sz w:val="20"/>
          <w:szCs w:val="20"/>
        </w:rPr>
      </w:pPr>
    </w:p>
    <w:tbl>
      <w:tblPr>
        <w:tblStyle w:val="TableGrid"/>
        <w:tblW w:w="0" w:type="auto"/>
        <w:tblLook w:val="04A0" w:firstRow="1" w:lastRow="0" w:firstColumn="1" w:lastColumn="0" w:noHBand="0" w:noVBand="1"/>
      </w:tblPr>
      <w:tblGrid>
        <w:gridCol w:w="9350"/>
      </w:tblGrid>
      <w:tr w:rsidR="00B004DD" w:rsidRPr="0054748E" w14:paraId="31D667F4" w14:textId="77777777" w:rsidTr="00AF79D4">
        <w:tc>
          <w:tcPr>
            <w:tcW w:w="9350" w:type="dxa"/>
          </w:tcPr>
          <w:p w14:paraId="4FB019B0" w14:textId="77777777" w:rsidR="00B004DD" w:rsidRPr="0054748E" w:rsidRDefault="00B004DD" w:rsidP="00AF79D4">
            <w:pPr>
              <w:spacing w:after="120"/>
              <w:rPr>
                <w:sz w:val="20"/>
                <w:szCs w:val="20"/>
              </w:rPr>
            </w:pPr>
            <w:r w:rsidRPr="00BA0164">
              <w:rPr>
                <w:b/>
                <w:bCs/>
                <w:sz w:val="20"/>
                <w:szCs w:val="20"/>
              </w:rPr>
              <w:t>Question 2</w:t>
            </w:r>
            <w:r w:rsidRPr="00BA0164">
              <w:rPr>
                <w:sz w:val="20"/>
                <w:szCs w:val="20"/>
              </w:rPr>
              <w:t xml:space="preserve">: In the context of L1/L2-centric inter-cell mobility, for </w:t>
            </w:r>
            <w:proofErr w:type="gramStart"/>
            <w:r w:rsidRPr="00BA0164">
              <w:rPr>
                <w:sz w:val="20"/>
                <w:szCs w:val="20"/>
              </w:rPr>
              <w:t>measurement on measurement</w:t>
            </w:r>
            <w:proofErr w:type="gramEnd"/>
            <w:r w:rsidRPr="00BA0164">
              <w:rPr>
                <w:sz w:val="20"/>
                <w:szCs w:val="20"/>
              </w:rPr>
              <w:t xml:space="preserve"> RS of a non-serving cell, with the above agreed L1-RSRP reporting, if the receive timing of the measurement RS from the non-serving cell can be different from the receive timing of the signals from the serving cell, what are the implication(s)/benefit(s), if any, from RAN4 perspective?</w:t>
            </w:r>
          </w:p>
        </w:tc>
      </w:tr>
    </w:tbl>
    <w:p w14:paraId="095ECE84" w14:textId="77777777" w:rsidR="00B004DD" w:rsidRDefault="00B004DD" w:rsidP="00B004DD">
      <w:pPr>
        <w:spacing w:after="120"/>
        <w:rPr>
          <w:b/>
          <w:bCs/>
          <w:sz w:val="20"/>
          <w:szCs w:val="20"/>
        </w:rPr>
      </w:pPr>
    </w:p>
    <w:p w14:paraId="15254D63" w14:textId="77777777" w:rsidR="00B004DD" w:rsidRDefault="00B004DD" w:rsidP="00B004DD">
      <w:pPr>
        <w:spacing w:after="120"/>
        <w:rPr>
          <w:sz w:val="20"/>
          <w:szCs w:val="20"/>
        </w:rPr>
      </w:pPr>
      <w:r w:rsidRPr="00082DCF">
        <w:rPr>
          <w:sz w:val="20"/>
          <w:szCs w:val="20"/>
        </w:rPr>
        <w:t xml:space="preserve">For </w:t>
      </w:r>
      <w:r>
        <w:rPr>
          <w:sz w:val="20"/>
          <w:szCs w:val="20"/>
        </w:rPr>
        <w:t xml:space="preserve">RS on </w:t>
      </w:r>
      <w:r w:rsidRPr="00082DCF">
        <w:rPr>
          <w:sz w:val="20"/>
          <w:szCs w:val="20"/>
        </w:rPr>
        <w:t xml:space="preserve">intra-frequency </w:t>
      </w:r>
      <w:r>
        <w:rPr>
          <w:sz w:val="20"/>
          <w:szCs w:val="20"/>
        </w:rPr>
        <w:t>carrier, in FR1 the receive timing could be different from serving cell in FDD for asynchronous case. In FR1 TDD and FR2 the intra-frequency neighbor cell is assumed to be synchronous and can derive timing from serving cell.</w:t>
      </w:r>
    </w:p>
    <w:p w14:paraId="5316819E" w14:textId="77777777" w:rsidR="00B004DD" w:rsidRPr="009C45AB" w:rsidRDefault="00B004DD" w:rsidP="00B004DD">
      <w:pPr>
        <w:spacing w:after="120"/>
        <w:rPr>
          <w:i/>
          <w:iCs/>
          <w:sz w:val="20"/>
          <w:szCs w:val="20"/>
        </w:rPr>
      </w:pPr>
      <w:r w:rsidRPr="009C45AB">
        <w:rPr>
          <w:b/>
          <w:bCs/>
          <w:i/>
          <w:iCs/>
          <w:sz w:val="20"/>
          <w:szCs w:val="20"/>
        </w:rPr>
        <w:t xml:space="preserve">Observation #4: </w:t>
      </w:r>
      <w:r w:rsidRPr="009C45AB">
        <w:rPr>
          <w:i/>
          <w:iCs/>
          <w:sz w:val="20"/>
          <w:szCs w:val="20"/>
        </w:rPr>
        <w:t xml:space="preserve">In FR1 TDD and FR2 the intra-frequency neighbor cell is assumed to be synchronous and can derive timing from serving cell. For FR1 FDD the intra-frequency cell could be asynchronous and have different receive timing compared to serving cell. </w:t>
      </w:r>
    </w:p>
    <w:p w14:paraId="21775C26" w14:textId="3FF41778" w:rsidR="00B004DD" w:rsidRPr="008668B9" w:rsidRDefault="00B004DD" w:rsidP="00B004DD">
      <w:pPr>
        <w:spacing w:after="120"/>
        <w:rPr>
          <w:b/>
          <w:bCs/>
          <w:sz w:val="20"/>
          <w:szCs w:val="20"/>
        </w:rPr>
      </w:pPr>
      <w:r>
        <w:rPr>
          <w:b/>
          <w:bCs/>
          <w:sz w:val="20"/>
          <w:szCs w:val="20"/>
        </w:rPr>
        <w:t xml:space="preserve">Proposal #5: </w:t>
      </w:r>
      <w:r w:rsidRPr="008668B9">
        <w:rPr>
          <w:b/>
          <w:bCs/>
          <w:sz w:val="20"/>
          <w:szCs w:val="20"/>
        </w:rPr>
        <w:t>[Proposed Response</w:t>
      </w:r>
      <w:r>
        <w:rPr>
          <w:b/>
          <w:bCs/>
          <w:sz w:val="20"/>
          <w:szCs w:val="20"/>
        </w:rPr>
        <w:t xml:space="preserve"> to Question 2</w:t>
      </w:r>
      <w:r w:rsidRPr="008668B9">
        <w:rPr>
          <w:b/>
          <w:bCs/>
          <w:sz w:val="20"/>
          <w:szCs w:val="20"/>
        </w:rPr>
        <w:t>]</w:t>
      </w:r>
    </w:p>
    <w:p w14:paraId="7B16D7CC" w14:textId="77777777" w:rsidR="00B004DD" w:rsidRDefault="00B004DD" w:rsidP="00B004DD">
      <w:pPr>
        <w:spacing w:after="120"/>
        <w:ind w:left="450"/>
        <w:rPr>
          <w:sz w:val="20"/>
          <w:szCs w:val="20"/>
        </w:rPr>
      </w:pPr>
      <w:r w:rsidRPr="009C45AB">
        <w:rPr>
          <w:sz w:val="20"/>
          <w:szCs w:val="20"/>
        </w:rPr>
        <w:t>In FR1 TDD and FR2 the intra-frequency neighbor cell is assumed to be synchronous and can derive timing from serving cell. For FR1 FDD the intra-frequency cell could be asynchronous and have different receive timing compared to serving cell.</w:t>
      </w:r>
    </w:p>
    <w:p w14:paraId="660EDC30" w14:textId="77777777" w:rsidR="00B004DD" w:rsidRPr="00AC56A9" w:rsidRDefault="00B004DD" w:rsidP="005B410D">
      <w:pPr>
        <w:spacing w:after="120"/>
        <w:rPr>
          <w:rFonts w:eastAsia="SimSun"/>
          <w:b/>
          <w:bCs/>
          <w:sz w:val="20"/>
          <w:szCs w:val="20"/>
          <w:lang w:val="en-GB" w:eastAsia="en-GB"/>
        </w:rPr>
      </w:pPr>
    </w:p>
    <w:p w14:paraId="0B3141EF" w14:textId="0818BD7A" w:rsidR="009F52D7" w:rsidRPr="002F79EB" w:rsidRDefault="00B004DD" w:rsidP="009F52D7">
      <w:pPr>
        <w:pStyle w:val="Heading1"/>
        <w:rPr>
          <w:lang w:val="en-US"/>
        </w:rPr>
      </w:pPr>
      <w:r>
        <w:rPr>
          <w:lang w:val="en-US"/>
        </w:rPr>
        <w:t>4</w:t>
      </w:r>
      <w:r w:rsidR="009F52D7">
        <w:rPr>
          <w:lang w:val="en-US"/>
        </w:rPr>
        <w:t>. Conclusion</w:t>
      </w:r>
    </w:p>
    <w:p w14:paraId="7BBB2F9C" w14:textId="1A70C7F4" w:rsidR="009F52D7" w:rsidRDefault="009F52D7" w:rsidP="005B410D">
      <w:pPr>
        <w:spacing w:after="120"/>
        <w:rPr>
          <w:sz w:val="20"/>
          <w:szCs w:val="20"/>
        </w:rPr>
      </w:pPr>
      <w:r w:rsidRPr="00AC56A9">
        <w:rPr>
          <w:sz w:val="20"/>
          <w:szCs w:val="20"/>
        </w:rPr>
        <w:t xml:space="preserve">In this paper, we </w:t>
      </w:r>
      <w:r w:rsidR="00AC56A9" w:rsidRPr="00AC56A9">
        <w:rPr>
          <w:sz w:val="20"/>
          <w:szCs w:val="20"/>
        </w:rPr>
        <w:t xml:space="preserve">discuss the questions form RAN1 and </w:t>
      </w:r>
      <w:r w:rsidRPr="00AC56A9">
        <w:rPr>
          <w:sz w:val="20"/>
          <w:szCs w:val="20"/>
        </w:rPr>
        <w:t xml:space="preserve">provide </w:t>
      </w:r>
      <w:r w:rsidR="00AC56A9" w:rsidRPr="00AC56A9">
        <w:rPr>
          <w:sz w:val="20"/>
          <w:szCs w:val="20"/>
        </w:rPr>
        <w:t>some responses to the questions raised by RAN1</w:t>
      </w:r>
      <w:r w:rsidRPr="00AC56A9">
        <w:rPr>
          <w:sz w:val="20"/>
          <w:szCs w:val="20"/>
        </w:rPr>
        <w:t>. Our proposals are captured below:</w:t>
      </w:r>
    </w:p>
    <w:p w14:paraId="73B3896B" w14:textId="5EF3A1E3" w:rsidR="00B004DD" w:rsidRPr="00B004DD" w:rsidRDefault="00B004DD" w:rsidP="005B410D">
      <w:pPr>
        <w:spacing w:after="120"/>
        <w:rPr>
          <w:b/>
          <w:bCs/>
          <w:sz w:val="20"/>
          <w:szCs w:val="20"/>
          <w:u w:val="single"/>
        </w:rPr>
      </w:pPr>
      <w:r w:rsidRPr="00B004DD">
        <w:rPr>
          <w:b/>
          <w:bCs/>
          <w:u w:val="single"/>
        </w:rPr>
        <w:t>L1/L2-Centric Inter-Cell Mobility</w:t>
      </w:r>
    </w:p>
    <w:p w14:paraId="16AEE83B" w14:textId="77777777" w:rsidR="00AC56A9" w:rsidRPr="00E4166E" w:rsidRDefault="00AC56A9" w:rsidP="00AC56A9">
      <w:pPr>
        <w:spacing w:after="120"/>
        <w:rPr>
          <w:rFonts w:eastAsia="SimSun"/>
          <w:b/>
          <w:bCs/>
          <w:sz w:val="20"/>
          <w:szCs w:val="20"/>
          <w:lang w:val="en-GB" w:eastAsia="en-GB"/>
        </w:rPr>
      </w:pPr>
      <w:r>
        <w:rPr>
          <w:rFonts w:eastAsia="SimSun"/>
          <w:b/>
          <w:bCs/>
          <w:sz w:val="20"/>
          <w:szCs w:val="20"/>
          <w:lang w:val="en-GB" w:eastAsia="en-GB"/>
        </w:rPr>
        <w:t xml:space="preserve">Proposal #1: Discuss further and agree on the implication of inter-band operation for L1/L2 centric mobility and inter-cell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and clarify with RAN1 to provide an appropriate response.  </w:t>
      </w:r>
    </w:p>
    <w:p w14:paraId="4F0FE20B" w14:textId="43966784" w:rsidR="00AC56A9" w:rsidRPr="00141956" w:rsidRDefault="00067393" w:rsidP="00AC56A9">
      <w:pPr>
        <w:spacing w:after="120"/>
        <w:rPr>
          <w:rFonts w:eastAsia="SimSun"/>
          <w:b/>
          <w:bCs/>
          <w:sz w:val="20"/>
          <w:szCs w:val="20"/>
          <w:lang w:val="en-GB" w:eastAsia="en-GB"/>
        </w:rPr>
      </w:pPr>
      <w:r>
        <w:rPr>
          <w:rFonts w:eastAsia="SimSun"/>
          <w:b/>
          <w:bCs/>
          <w:sz w:val="20"/>
          <w:szCs w:val="20"/>
          <w:lang w:val="en-GB" w:eastAsia="en-GB"/>
        </w:rPr>
        <w:t xml:space="preserve">Proposal #2: [Proposed reply for Q6] In order to support measurements on inter-frequency carrier, a measurement gap might be required to support inter-frequency measurement. In addition, the switching delay might need to be accounted for additional time for active TCI state switch delay in case of inter-frequency cell. </w:t>
      </w:r>
    </w:p>
    <w:p w14:paraId="2F5FAC32" w14:textId="77777777" w:rsidR="00AC56A9" w:rsidRPr="00AC56A9" w:rsidRDefault="00AC56A9" w:rsidP="00AC56A9">
      <w:pPr>
        <w:spacing w:after="120"/>
        <w:rPr>
          <w:rFonts w:eastAsia="SimSun"/>
          <w:b/>
          <w:bCs/>
          <w:sz w:val="20"/>
          <w:szCs w:val="20"/>
          <w:lang w:val="en-GB" w:eastAsia="en-GB"/>
        </w:rPr>
      </w:pPr>
      <w:r>
        <w:rPr>
          <w:rFonts w:eastAsia="SimSun"/>
          <w:b/>
          <w:bCs/>
          <w:sz w:val="20"/>
          <w:szCs w:val="20"/>
          <w:lang w:val="en-GB" w:eastAsia="en-GB"/>
        </w:rPr>
        <w:t xml:space="preserve">Proposal #3: Clarify with RAN1 the expectation on receiving signals from different cells after the switch (TCI state) to new cell for dedicated channels. </w:t>
      </w:r>
    </w:p>
    <w:p w14:paraId="571E5FF1" w14:textId="2253052D" w:rsidR="009F52D7" w:rsidRPr="00B004DD" w:rsidRDefault="00B004DD" w:rsidP="005B410D">
      <w:pPr>
        <w:spacing w:after="120"/>
        <w:rPr>
          <w:b/>
          <w:bCs/>
          <w:sz w:val="20"/>
          <w:szCs w:val="20"/>
          <w:u w:val="single"/>
        </w:rPr>
      </w:pPr>
      <w:r w:rsidRPr="00B004DD">
        <w:rPr>
          <w:b/>
          <w:bCs/>
          <w:u w:val="single"/>
        </w:rPr>
        <w:t>Timing Assumption for Inter-Cell DL Measurement</w:t>
      </w:r>
    </w:p>
    <w:p w14:paraId="3BFB73E8" w14:textId="77777777" w:rsidR="00B004DD" w:rsidRDefault="00B004DD" w:rsidP="00B004DD">
      <w:pPr>
        <w:spacing w:after="120"/>
        <w:rPr>
          <w:i/>
          <w:iCs/>
          <w:sz w:val="20"/>
          <w:szCs w:val="20"/>
        </w:rPr>
      </w:pPr>
      <w:r>
        <w:rPr>
          <w:b/>
          <w:bCs/>
          <w:i/>
          <w:iCs/>
          <w:sz w:val="20"/>
          <w:szCs w:val="20"/>
        </w:rPr>
        <w:t xml:space="preserve">Observation #1: </w:t>
      </w:r>
      <w:r>
        <w:rPr>
          <w:i/>
          <w:iCs/>
          <w:sz w:val="20"/>
          <w:szCs w:val="20"/>
        </w:rPr>
        <w:t>SMTC periodicity could be longer than SSB periodicity of non-serving cell to be measured.</w:t>
      </w:r>
    </w:p>
    <w:p w14:paraId="389A5636" w14:textId="77777777" w:rsidR="00B004DD" w:rsidRDefault="00B004DD" w:rsidP="00B004DD">
      <w:pPr>
        <w:spacing w:after="120"/>
        <w:rPr>
          <w:i/>
          <w:iCs/>
          <w:sz w:val="20"/>
          <w:szCs w:val="20"/>
        </w:rPr>
      </w:pPr>
      <w:r w:rsidRPr="008668B9">
        <w:rPr>
          <w:b/>
          <w:bCs/>
          <w:i/>
          <w:iCs/>
          <w:sz w:val="20"/>
          <w:szCs w:val="20"/>
        </w:rPr>
        <w:t>Observation #2:</w:t>
      </w:r>
      <w:r>
        <w:rPr>
          <w:i/>
          <w:iCs/>
          <w:sz w:val="20"/>
          <w:szCs w:val="20"/>
        </w:rPr>
        <w:t xml:space="preserve"> Benefit of limiting L1-RSRP measurements of non-serving cell to SMTC would use the existing framework for L3 neighbor cell measurement.</w:t>
      </w:r>
    </w:p>
    <w:p w14:paraId="13EA21AC" w14:textId="77777777" w:rsidR="00B004DD" w:rsidRPr="002E0724" w:rsidRDefault="00B004DD" w:rsidP="00B004DD">
      <w:pPr>
        <w:spacing w:after="120"/>
        <w:rPr>
          <w:i/>
          <w:iCs/>
          <w:sz w:val="20"/>
          <w:szCs w:val="20"/>
        </w:rPr>
      </w:pPr>
      <w:r w:rsidRPr="008668B9">
        <w:rPr>
          <w:b/>
          <w:bCs/>
          <w:i/>
          <w:iCs/>
          <w:sz w:val="20"/>
          <w:szCs w:val="20"/>
        </w:rPr>
        <w:t>Observation #3:</w:t>
      </w:r>
      <w:r>
        <w:rPr>
          <w:i/>
          <w:iCs/>
          <w:sz w:val="20"/>
          <w:szCs w:val="20"/>
        </w:rPr>
        <w:t xml:space="preserve"> Allowing for measurements of L1-RSRP of non-serving cell outside SMTC would potentially shorten the measurement </w:t>
      </w:r>
      <w:proofErr w:type="gramStart"/>
      <w:r>
        <w:rPr>
          <w:i/>
          <w:iCs/>
          <w:sz w:val="20"/>
          <w:szCs w:val="20"/>
        </w:rPr>
        <w:t>time, if</w:t>
      </w:r>
      <w:proofErr w:type="gramEnd"/>
      <w:r>
        <w:rPr>
          <w:i/>
          <w:iCs/>
          <w:sz w:val="20"/>
          <w:szCs w:val="20"/>
        </w:rPr>
        <w:t xml:space="preserve"> measurement is made based on SSB periodicity rather than SMTC.</w:t>
      </w:r>
    </w:p>
    <w:p w14:paraId="4C6C14DB" w14:textId="79225452" w:rsidR="00B004DD" w:rsidRPr="00B004DD" w:rsidRDefault="00B004DD" w:rsidP="00B004DD">
      <w:pPr>
        <w:spacing w:after="120"/>
        <w:rPr>
          <w:b/>
          <w:bCs/>
          <w:sz w:val="20"/>
          <w:szCs w:val="20"/>
        </w:rPr>
      </w:pPr>
      <w:r>
        <w:rPr>
          <w:b/>
          <w:bCs/>
          <w:sz w:val="20"/>
          <w:szCs w:val="20"/>
        </w:rPr>
        <w:t xml:space="preserve">Proposal #4: </w:t>
      </w:r>
      <w:r w:rsidRPr="008668B9">
        <w:rPr>
          <w:b/>
          <w:bCs/>
          <w:sz w:val="20"/>
          <w:szCs w:val="20"/>
        </w:rPr>
        <w:t>[Proposed Response</w:t>
      </w:r>
      <w:r>
        <w:rPr>
          <w:b/>
          <w:bCs/>
          <w:sz w:val="20"/>
          <w:szCs w:val="20"/>
        </w:rPr>
        <w:t xml:space="preserve"> to Question 1</w:t>
      </w:r>
      <w:r w:rsidRPr="008668B9">
        <w:rPr>
          <w:b/>
          <w:bCs/>
          <w:sz w:val="20"/>
          <w:szCs w:val="20"/>
        </w:rPr>
        <w:t>]</w:t>
      </w:r>
      <w:r>
        <w:rPr>
          <w:b/>
          <w:bCs/>
          <w:sz w:val="20"/>
          <w:szCs w:val="20"/>
        </w:rPr>
        <w:t xml:space="preserve"> </w:t>
      </w:r>
      <w:r w:rsidRPr="00B004DD">
        <w:rPr>
          <w:b/>
          <w:bCs/>
          <w:sz w:val="20"/>
          <w:szCs w:val="20"/>
        </w:rPr>
        <w:t>The SMTC periodicity could be larger than SSB periodicity of non-serving cell to be measured. The benefit of limiting L1-RSRP measurements of non-serving cell to SMTC would use the existing framework for L3 neighbor cell measurement. On the other hand, allowing for measurements of L1-RSRP of non-serving cell outside SMTC would potentially shorten the measurement time, if measurement is made based on SSB periodicity rather than SMTC.</w:t>
      </w:r>
    </w:p>
    <w:p w14:paraId="10D1FDFE" w14:textId="038E8670" w:rsidR="00B004DD" w:rsidRPr="00B004DD" w:rsidRDefault="00B004DD" w:rsidP="00B004DD">
      <w:pPr>
        <w:spacing w:after="120"/>
        <w:rPr>
          <w:b/>
          <w:bCs/>
          <w:sz w:val="20"/>
          <w:szCs w:val="20"/>
        </w:rPr>
      </w:pPr>
      <w:r>
        <w:rPr>
          <w:b/>
          <w:bCs/>
          <w:sz w:val="20"/>
          <w:szCs w:val="20"/>
        </w:rPr>
        <w:lastRenderedPageBreak/>
        <w:t xml:space="preserve">Proposal #5: </w:t>
      </w:r>
      <w:r w:rsidRPr="008668B9">
        <w:rPr>
          <w:b/>
          <w:bCs/>
          <w:sz w:val="20"/>
          <w:szCs w:val="20"/>
        </w:rPr>
        <w:t>[Proposed Response</w:t>
      </w:r>
      <w:r>
        <w:rPr>
          <w:b/>
          <w:bCs/>
          <w:sz w:val="20"/>
          <w:szCs w:val="20"/>
        </w:rPr>
        <w:t xml:space="preserve"> to Question 2</w:t>
      </w:r>
      <w:r w:rsidRPr="00B004DD">
        <w:rPr>
          <w:b/>
          <w:bCs/>
          <w:sz w:val="20"/>
          <w:szCs w:val="20"/>
        </w:rPr>
        <w:t>]</w:t>
      </w:r>
      <w:r w:rsidRPr="00B004DD">
        <w:rPr>
          <w:b/>
          <w:bCs/>
          <w:sz w:val="20"/>
          <w:szCs w:val="20"/>
        </w:rPr>
        <w:t xml:space="preserve"> </w:t>
      </w:r>
      <w:r w:rsidRPr="00B004DD">
        <w:rPr>
          <w:b/>
          <w:bCs/>
          <w:sz w:val="20"/>
          <w:szCs w:val="20"/>
        </w:rPr>
        <w:t>In FR1 TDD and FR2 the intra-frequency neighbor cell is assumed to be synchronous and can derive timing from serving cell. For FR1 FDD the intra-frequency cell could be asynchronous and have different receive timing compared to serving cell.</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10F3E429" w14:textId="77777777" w:rsidR="006A1FC4" w:rsidRDefault="003D1E60" w:rsidP="009F52D7">
      <w:pPr>
        <w:pStyle w:val="ListParagraph"/>
        <w:numPr>
          <w:ilvl w:val="0"/>
          <w:numId w:val="2"/>
        </w:numPr>
        <w:spacing w:after="120"/>
        <w:ind w:firstLineChars="0"/>
        <w:jc w:val="both"/>
        <w:rPr>
          <w:rFonts w:ascii="Times New Roman" w:hAnsi="Times New Roman" w:cs="Times New Roman"/>
          <w:sz w:val="20"/>
          <w:szCs w:val="20"/>
        </w:rPr>
      </w:pPr>
      <w:r w:rsidRPr="004C1BA4">
        <w:rPr>
          <w:rFonts w:ascii="Times New Roman" w:hAnsi="Times New Roman" w:cs="Times New Roman"/>
          <w:sz w:val="20"/>
          <w:szCs w:val="20"/>
        </w:rPr>
        <w:t xml:space="preserve">R1-2102248, “LS on TCI State Update for L1/L2-Centric Inter-Cell Mobility”, RAN1, Samsung.  </w:t>
      </w:r>
    </w:p>
    <w:p w14:paraId="56E792EE" w14:textId="4C84C5C6" w:rsidR="009F52D7" w:rsidRDefault="006A1FC4" w:rsidP="009F52D7">
      <w:pPr>
        <w:pStyle w:val="ListParagraph"/>
        <w:numPr>
          <w:ilvl w:val="0"/>
          <w:numId w:val="2"/>
        </w:numPr>
        <w:spacing w:after="120"/>
        <w:ind w:firstLineChars="0"/>
        <w:jc w:val="both"/>
        <w:rPr>
          <w:rFonts w:ascii="Times New Roman" w:hAnsi="Times New Roman" w:cs="Times New Roman"/>
          <w:sz w:val="20"/>
          <w:szCs w:val="20"/>
        </w:rPr>
      </w:pPr>
      <w:r w:rsidRPr="006A1FC4">
        <w:rPr>
          <w:rFonts w:ascii="Times New Roman" w:hAnsi="Times New Roman" w:cs="Times New Roman"/>
          <w:sz w:val="20"/>
          <w:szCs w:val="20"/>
        </w:rPr>
        <w:t>R4-2105838,</w:t>
      </w:r>
      <w:r>
        <w:rPr>
          <w:rFonts w:ascii="Times New Roman" w:hAnsi="Times New Roman" w:cs="Times New Roman"/>
          <w:sz w:val="20"/>
          <w:szCs w:val="20"/>
        </w:rPr>
        <w:t xml:space="preserve"> </w:t>
      </w:r>
      <w:r w:rsidRPr="006A1FC4">
        <w:rPr>
          <w:rFonts w:ascii="Times New Roman" w:hAnsi="Times New Roman" w:cs="Times New Roman"/>
          <w:sz w:val="20"/>
          <w:szCs w:val="20"/>
        </w:rPr>
        <w:t xml:space="preserve">“WF on </w:t>
      </w:r>
      <w:proofErr w:type="spellStart"/>
      <w:r w:rsidRPr="006A1FC4">
        <w:rPr>
          <w:rFonts w:ascii="Times New Roman" w:hAnsi="Times New Roman" w:cs="Times New Roman"/>
          <w:sz w:val="20"/>
          <w:szCs w:val="20"/>
        </w:rPr>
        <w:t>feMIMO</w:t>
      </w:r>
      <w:proofErr w:type="spellEnd"/>
      <w:r w:rsidRPr="006A1FC4">
        <w:rPr>
          <w:rFonts w:ascii="Times New Roman" w:hAnsi="Times New Roman" w:cs="Times New Roman"/>
          <w:sz w:val="20"/>
          <w:szCs w:val="20"/>
        </w:rPr>
        <w:t xml:space="preserve"> on TCI State Update for L1/L2-Centric Inter-Cell Mobility”, Samsung</w:t>
      </w:r>
    </w:p>
    <w:p w14:paraId="5C892691" w14:textId="77777777" w:rsidR="00B004DD" w:rsidRPr="0054748E" w:rsidRDefault="00B004DD" w:rsidP="00B004DD">
      <w:pPr>
        <w:pStyle w:val="ListParagraph"/>
        <w:numPr>
          <w:ilvl w:val="0"/>
          <w:numId w:val="2"/>
        </w:numPr>
        <w:spacing w:after="120"/>
        <w:ind w:firstLineChars="0"/>
        <w:jc w:val="both"/>
        <w:rPr>
          <w:rFonts w:ascii="Times New Roman" w:hAnsi="Times New Roman" w:cs="Times New Roman"/>
          <w:sz w:val="20"/>
          <w:szCs w:val="20"/>
        </w:rPr>
      </w:pPr>
      <w:r w:rsidRPr="0054748E">
        <w:rPr>
          <w:rFonts w:ascii="Times New Roman" w:hAnsi="Times New Roman" w:cs="Times New Roman"/>
          <w:sz w:val="20"/>
          <w:szCs w:val="20"/>
        </w:rPr>
        <w:t xml:space="preserve">R1-2104142, “LS on Timing Assumption for Inter-Cell DL Measurement”, RAN1.  </w:t>
      </w:r>
    </w:p>
    <w:p w14:paraId="1CA40CBB" w14:textId="77777777" w:rsidR="00B004DD" w:rsidRPr="006A1FC4" w:rsidRDefault="00B004DD" w:rsidP="00B004DD">
      <w:pPr>
        <w:pStyle w:val="ListParagraph"/>
        <w:spacing w:after="120"/>
        <w:ind w:left="432" w:firstLineChars="0" w:firstLine="0"/>
        <w:jc w:val="both"/>
        <w:rPr>
          <w:rFonts w:ascii="Times New Roman" w:hAnsi="Times New Roman" w:cs="Times New Roman"/>
          <w:sz w:val="20"/>
          <w:szCs w:val="20"/>
        </w:rPr>
      </w:pPr>
    </w:p>
    <w:p w14:paraId="2EB41023" w14:textId="77777777" w:rsidR="00B004DD" w:rsidRDefault="00B004DD" w:rsidP="00B004DD">
      <w:pPr>
        <w:pStyle w:val="Heading1"/>
        <w:ind w:left="432" w:hanging="432"/>
        <w:rPr>
          <w:lang w:val="en-US"/>
        </w:rPr>
      </w:pPr>
      <w:r>
        <w:rPr>
          <w:lang w:val="en-US"/>
        </w:rPr>
        <w:t>Appendix</w:t>
      </w:r>
    </w:p>
    <w:p w14:paraId="4CDBE4E2" w14:textId="3FF57782" w:rsidR="00B004DD" w:rsidRDefault="00B004DD" w:rsidP="00B004DD">
      <w:r>
        <w:t xml:space="preserve">The draft reply LS to RAN1 on </w:t>
      </w:r>
      <w:r w:rsidRPr="00146DD7">
        <w:t>Timing Assumption for Inter-Cell DL Measurement</w:t>
      </w:r>
      <w:r>
        <w:t xml:space="preserve"> </w:t>
      </w:r>
      <w:r>
        <w:t>is captured below.</w:t>
      </w:r>
    </w:p>
    <w:p w14:paraId="2AE88799" w14:textId="77777777" w:rsidR="00B004DD" w:rsidRDefault="00B004DD" w:rsidP="00B004DD"/>
    <w:p w14:paraId="35A6B5B9" w14:textId="77777777" w:rsidR="00B004DD" w:rsidRPr="005C2BD1" w:rsidRDefault="00B004DD" w:rsidP="00B004DD"/>
    <w:p w14:paraId="57965C70" w14:textId="7C0A4D75" w:rsidR="00B004DD" w:rsidRPr="0054748E" w:rsidRDefault="00B004DD" w:rsidP="00B004DD">
      <w:pPr>
        <w:pStyle w:val="Header"/>
        <w:keepLines/>
        <w:tabs>
          <w:tab w:val="clear" w:pos="4153"/>
          <w:tab w:val="clear" w:pos="8306"/>
          <w:tab w:val="right" w:pos="10440"/>
          <w:tab w:val="right" w:pos="13323"/>
        </w:tabs>
        <w:rPr>
          <w:rFonts w:ascii="Arial" w:eastAsia="SimSun" w:hAnsi="Arial" w:cs="Arial"/>
          <w:b/>
          <w:sz w:val="24"/>
          <w:szCs w:val="24"/>
          <w:lang w:eastAsia="zh-CN"/>
        </w:rPr>
      </w:pPr>
      <w:r w:rsidRPr="0054748E">
        <w:rPr>
          <w:rFonts w:ascii="Arial" w:hAnsi="Arial" w:cs="Arial"/>
          <w:b/>
          <w:sz w:val="24"/>
          <w:szCs w:val="24"/>
        </w:rPr>
        <w:t>3GPP TSG-RAN WG4 Meeting #</w:t>
      </w:r>
      <w:r w:rsidRPr="0054748E">
        <w:t xml:space="preserve"> </w:t>
      </w:r>
      <w:r w:rsidRPr="0054748E">
        <w:rPr>
          <w:rFonts w:ascii="Arial" w:hAnsi="Arial" w:cs="Arial"/>
          <w:b/>
          <w:sz w:val="24"/>
          <w:szCs w:val="24"/>
        </w:rPr>
        <w:t>99-e</w:t>
      </w:r>
      <w:r w:rsidRPr="0054748E">
        <w:rPr>
          <w:rFonts w:ascii="Arial" w:hAnsi="Arial" w:cs="Arial"/>
          <w:b/>
          <w:sz w:val="24"/>
          <w:szCs w:val="24"/>
        </w:rPr>
        <w:tab/>
      </w:r>
      <w:r w:rsidRPr="001C5750">
        <w:rPr>
          <w:rFonts w:ascii="Arial" w:hAnsi="Arial" w:cs="Arial"/>
          <w:b/>
          <w:sz w:val="24"/>
          <w:szCs w:val="24"/>
        </w:rPr>
        <w:t>R4-21</w:t>
      </w:r>
      <w:r>
        <w:rPr>
          <w:rFonts w:ascii="Arial" w:hAnsi="Arial" w:cs="Arial"/>
          <w:b/>
          <w:sz w:val="24"/>
          <w:szCs w:val="24"/>
        </w:rPr>
        <w:t>x</w:t>
      </w:r>
      <w:r w:rsidRPr="001C5750">
        <w:rPr>
          <w:rFonts w:ascii="Arial" w:hAnsi="Arial" w:cs="Arial"/>
          <w:b/>
          <w:sz w:val="24"/>
          <w:szCs w:val="24"/>
        </w:rPr>
        <w:t>xxxx</w:t>
      </w:r>
    </w:p>
    <w:p w14:paraId="3E65138C" w14:textId="77777777" w:rsidR="00B004DD" w:rsidRPr="0054748E" w:rsidRDefault="00B004DD" w:rsidP="00B004DD">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4748E">
        <w:rPr>
          <w:rFonts w:ascii="Arial" w:eastAsia="SimSun" w:hAnsi="Arial"/>
          <w:b/>
          <w:sz w:val="24"/>
          <w:szCs w:val="24"/>
          <w:lang w:eastAsia="zh-CN"/>
        </w:rPr>
        <w:t>Electronic Meeting, May 19-27, 2021</w:t>
      </w:r>
    </w:p>
    <w:p w14:paraId="46ABBA0D" w14:textId="77777777" w:rsidR="00B004DD" w:rsidRDefault="00B004DD" w:rsidP="00B004DD">
      <w:pPr>
        <w:spacing w:after="60"/>
        <w:ind w:left="1985" w:hanging="1985"/>
        <w:rPr>
          <w:rFonts w:ascii="Arial" w:hAnsi="Arial" w:cs="Arial"/>
          <w:b/>
        </w:rPr>
      </w:pPr>
    </w:p>
    <w:p w14:paraId="450D568B" w14:textId="77777777" w:rsidR="00B004DD" w:rsidRPr="001C5750" w:rsidRDefault="00B004DD" w:rsidP="00B004DD">
      <w:pPr>
        <w:spacing w:after="60"/>
        <w:ind w:left="1985" w:hanging="1985"/>
        <w:rPr>
          <w:rFonts w:ascii="Arial" w:eastAsia="MS Mincho" w:hAnsi="Arial" w:cs="Arial"/>
          <w:bCs/>
          <w:lang w:eastAsia="ja-JP"/>
        </w:rPr>
      </w:pPr>
      <w:r w:rsidRPr="001C5750">
        <w:rPr>
          <w:rFonts w:ascii="Arial" w:hAnsi="Arial" w:cs="Arial"/>
          <w:b/>
        </w:rPr>
        <w:t>Title:</w:t>
      </w:r>
      <w:r w:rsidRPr="001C5750">
        <w:rPr>
          <w:rFonts w:ascii="Arial" w:hAnsi="Arial" w:cs="Arial"/>
          <w:b/>
        </w:rPr>
        <w:tab/>
        <w:t xml:space="preserve">[Draft] </w:t>
      </w:r>
      <w:r w:rsidRPr="001C5750">
        <w:rPr>
          <w:rFonts w:ascii="Arial" w:eastAsia="MS Mincho" w:hAnsi="Arial" w:cs="Arial"/>
          <w:bCs/>
          <w:lang w:eastAsia="ja-JP"/>
        </w:rPr>
        <w:t xml:space="preserve">LS Reply on </w:t>
      </w:r>
      <w:r w:rsidRPr="001C5750">
        <w:rPr>
          <w:rFonts w:ascii="Arial" w:eastAsia="MS Mincho" w:hAnsi="Arial" w:cs="Arial"/>
          <w:bCs/>
          <w:lang w:val="en-GB" w:eastAsia="ja-JP"/>
        </w:rPr>
        <w:t>Timing Assumption for Inter-Cell DL Measurement</w:t>
      </w:r>
    </w:p>
    <w:p w14:paraId="2BBDF9D3" w14:textId="77777777" w:rsidR="00B004DD" w:rsidRPr="001C5750" w:rsidRDefault="00B004DD" w:rsidP="00B004DD">
      <w:pPr>
        <w:spacing w:after="60"/>
        <w:ind w:left="1985" w:hanging="1985"/>
        <w:rPr>
          <w:rFonts w:ascii="Arial" w:hAnsi="Arial" w:cs="Arial"/>
          <w:bCs/>
        </w:rPr>
      </w:pPr>
      <w:r w:rsidRPr="001C5750">
        <w:rPr>
          <w:rFonts w:ascii="Arial" w:hAnsi="Arial" w:cs="Arial"/>
          <w:b/>
        </w:rPr>
        <w:t>Work Item:</w:t>
      </w:r>
      <w:r w:rsidRPr="001C5750">
        <w:rPr>
          <w:rFonts w:ascii="Arial" w:hAnsi="Arial" w:cs="Arial"/>
          <w:bCs/>
        </w:rPr>
        <w:tab/>
      </w:r>
      <w:proofErr w:type="spellStart"/>
      <w:r w:rsidRPr="001C5750">
        <w:rPr>
          <w:rFonts w:ascii="Arial" w:hAnsi="Arial" w:cs="Arial"/>
          <w:lang w:eastAsia="zh-CN"/>
        </w:rPr>
        <w:t>NR_feMIMO</w:t>
      </w:r>
      <w:proofErr w:type="spellEnd"/>
      <w:r w:rsidRPr="001C5750">
        <w:rPr>
          <w:rFonts w:ascii="Arial" w:hAnsi="Arial" w:cs="Arial"/>
          <w:lang w:eastAsia="zh-CN"/>
        </w:rPr>
        <w:t>-Core</w:t>
      </w:r>
    </w:p>
    <w:p w14:paraId="3225D9A3" w14:textId="77777777" w:rsidR="00B004DD" w:rsidRPr="001C5750" w:rsidRDefault="00B004DD" w:rsidP="00B004DD">
      <w:pPr>
        <w:spacing w:after="60"/>
        <w:ind w:left="1985" w:hanging="1985"/>
        <w:rPr>
          <w:rFonts w:ascii="Arial" w:hAnsi="Arial" w:cs="Arial"/>
          <w:b/>
        </w:rPr>
      </w:pPr>
    </w:p>
    <w:p w14:paraId="711B0EB7" w14:textId="77777777" w:rsidR="00B004DD" w:rsidRPr="001C5750" w:rsidRDefault="00B004DD" w:rsidP="00B004DD">
      <w:pPr>
        <w:spacing w:after="60"/>
        <w:ind w:left="1985" w:hanging="1985"/>
        <w:rPr>
          <w:rFonts w:ascii="Arial" w:hAnsi="Arial" w:cs="Arial"/>
          <w:bCs/>
        </w:rPr>
      </w:pPr>
      <w:r w:rsidRPr="001C5750">
        <w:rPr>
          <w:rFonts w:ascii="Arial" w:hAnsi="Arial" w:cs="Arial"/>
          <w:b/>
        </w:rPr>
        <w:t>Source:</w:t>
      </w:r>
      <w:r w:rsidRPr="001C5750">
        <w:rPr>
          <w:rFonts w:ascii="Arial" w:hAnsi="Arial" w:cs="Arial"/>
          <w:bCs/>
          <w:color w:val="FF0000"/>
        </w:rPr>
        <w:tab/>
      </w:r>
      <w:r w:rsidRPr="001C5750">
        <w:rPr>
          <w:rFonts w:ascii="Arial" w:hAnsi="Arial" w:cs="Arial"/>
          <w:bCs/>
        </w:rPr>
        <w:t>RAN WG4</w:t>
      </w:r>
    </w:p>
    <w:p w14:paraId="36106DC7" w14:textId="77777777" w:rsidR="00B004DD" w:rsidRPr="001C5750" w:rsidRDefault="00B004DD" w:rsidP="00B004DD">
      <w:pPr>
        <w:spacing w:after="60"/>
        <w:ind w:left="1985" w:hanging="1985"/>
        <w:rPr>
          <w:rFonts w:ascii="Arial" w:hAnsi="Arial" w:cs="Arial"/>
          <w:bCs/>
        </w:rPr>
      </w:pPr>
      <w:r w:rsidRPr="001C5750">
        <w:rPr>
          <w:rFonts w:ascii="Arial" w:hAnsi="Arial" w:cs="Arial"/>
          <w:b/>
        </w:rPr>
        <w:t>To:</w:t>
      </w:r>
      <w:r w:rsidRPr="001C5750">
        <w:rPr>
          <w:rFonts w:ascii="Arial" w:hAnsi="Arial" w:cs="Arial"/>
          <w:bCs/>
        </w:rPr>
        <w:tab/>
        <w:t>RAN WG1</w:t>
      </w:r>
    </w:p>
    <w:p w14:paraId="2F504954" w14:textId="77777777" w:rsidR="00B004DD" w:rsidRPr="001C5750" w:rsidRDefault="00B004DD" w:rsidP="00B004DD">
      <w:pPr>
        <w:spacing w:after="60"/>
        <w:ind w:left="1985" w:hanging="1985"/>
        <w:rPr>
          <w:rFonts w:ascii="Arial" w:hAnsi="Arial" w:cs="Arial"/>
          <w:bCs/>
        </w:rPr>
      </w:pPr>
      <w:r w:rsidRPr="001C5750">
        <w:rPr>
          <w:rFonts w:ascii="Arial" w:hAnsi="Arial" w:cs="Arial"/>
          <w:b/>
        </w:rPr>
        <w:t>Cc:</w:t>
      </w:r>
      <w:r w:rsidRPr="001C5750">
        <w:rPr>
          <w:rFonts w:ascii="Arial" w:hAnsi="Arial" w:cs="Arial"/>
          <w:bCs/>
        </w:rPr>
        <w:tab/>
      </w:r>
    </w:p>
    <w:p w14:paraId="3619F3C8" w14:textId="77777777" w:rsidR="00B004DD" w:rsidRPr="001C5750" w:rsidRDefault="00B004DD" w:rsidP="00B004DD">
      <w:pPr>
        <w:spacing w:after="60"/>
        <w:ind w:left="1985" w:hanging="1985"/>
        <w:rPr>
          <w:rFonts w:ascii="Arial" w:hAnsi="Arial" w:cs="Arial"/>
          <w:bCs/>
        </w:rPr>
      </w:pPr>
    </w:p>
    <w:p w14:paraId="1CAA1873" w14:textId="77777777" w:rsidR="00B004DD" w:rsidRPr="001C5750" w:rsidRDefault="00B004DD" w:rsidP="00B004DD">
      <w:pPr>
        <w:tabs>
          <w:tab w:val="left" w:pos="2268"/>
        </w:tabs>
        <w:rPr>
          <w:rFonts w:ascii="Arial" w:hAnsi="Arial" w:cs="Arial"/>
          <w:bCs/>
        </w:rPr>
      </w:pPr>
      <w:r w:rsidRPr="001C5750">
        <w:rPr>
          <w:rFonts w:ascii="Arial" w:hAnsi="Arial" w:cs="Arial"/>
          <w:b/>
        </w:rPr>
        <w:t>Contact Person:</w:t>
      </w:r>
      <w:r w:rsidRPr="001C5750">
        <w:rPr>
          <w:rFonts w:ascii="Arial" w:hAnsi="Arial" w:cs="Arial"/>
          <w:bCs/>
        </w:rPr>
        <w:tab/>
      </w:r>
    </w:p>
    <w:p w14:paraId="4478B09F" w14:textId="77777777" w:rsidR="00B004DD" w:rsidRPr="001C5750" w:rsidRDefault="00B004DD" w:rsidP="00B004DD">
      <w:pPr>
        <w:pStyle w:val="Heading4"/>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Name:</w:t>
      </w:r>
      <w:r w:rsidRPr="001C5750">
        <w:rPr>
          <w:rFonts w:ascii="Arial" w:hAnsi="Arial" w:cs="Arial"/>
          <w:i w:val="0"/>
          <w:iCs w:val="0"/>
          <w:color w:val="000000" w:themeColor="text1"/>
        </w:rPr>
        <w:tab/>
      </w:r>
      <w:r w:rsidRPr="001C5750">
        <w:rPr>
          <w:rFonts w:ascii="Arial" w:hAnsi="Arial" w:cs="Arial"/>
          <w:i w:val="0"/>
          <w:iCs w:val="0"/>
          <w:color w:val="000000" w:themeColor="text1"/>
          <w:lang w:eastAsia="zh-CN"/>
        </w:rPr>
        <w:t>Manasa Raghavan</w:t>
      </w:r>
      <w:r w:rsidRPr="001C5750">
        <w:rPr>
          <w:rFonts w:ascii="Arial" w:hAnsi="Arial" w:cs="Arial"/>
          <w:bCs/>
          <w:i w:val="0"/>
          <w:iCs w:val="0"/>
          <w:color w:val="000000" w:themeColor="text1"/>
        </w:rPr>
        <w:tab/>
      </w:r>
    </w:p>
    <w:p w14:paraId="651C8A1E" w14:textId="77777777" w:rsidR="00B004DD" w:rsidRPr="001C5750" w:rsidRDefault="00B004DD" w:rsidP="00B004DD">
      <w:pPr>
        <w:pStyle w:val="Heading7"/>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E-mail Address:</w:t>
      </w:r>
      <w:r w:rsidRPr="001C5750">
        <w:rPr>
          <w:rFonts w:ascii="Arial" w:hAnsi="Arial" w:cs="Arial"/>
          <w:bCs/>
          <w:i w:val="0"/>
          <w:iCs w:val="0"/>
          <w:color w:val="000000" w:themeColor="text1"/>
        </w:rPr>
        <w:tab/>
      </w:r>
      <w:proofErr w:type="spellStart"/>
      <w:r w:rsidRPr="001C5750">
        <w:rPr>
          <w:rFonts w:ascii="Arial" w:hAnsi="Arial" w:cs="Arial"/>
          <w:bCs/>
          <w:i w:val="0"/>
          <w:iCs w:val="0"/>
          <w:color w:val="000000" w:themeColor="text1"/>
          <w:lang w:eastAsia="zh-CN"/>
        </w:rPr>
        <w:t>manasa</w:t>
      </w:r>
      <w:proofErr w:type="spellEnd"/>
      <w:r w:rsidRPr="001C5750">
        <w:rPr>
          <w:rFonts w:ascii="Arial" w:hAnsi="Arial" w:cs="Arial"/>
          <w:bCs/>
          <w:i w:val="0"/>
          <w:iCs w:val="0"/>
          <w:color w:val="000000" w:themeColor="text1"/>
          <w:lang w:eastAsia="zh-CN"/>
        </w:rPr>
        <w:t>[dot]</w:t>
      </w:r>
      <w:proofErr w:type="spellStart"/>
      <w:r w:rsidRPr="001C5750">
        <w:rPr>
          <w:rFonts w:ascii="Arial" w:hAnsi="Arial" w:cs="Arial"/>
          <w:bCs/>
          <w:i w:val="0"/>
          <w:iCs w:val="0"/>
          <w:color w:val="000000" w:themeColor="text1"/>
          <w:lang w:eastAsia="zh-CN"/>
        </w:rPr>
        <w:t>raghavan</w:t>
      </w:r>
      <w:proofErr w:type="spellEnd"/>
      <w:r w:rsidRPr="001C5750">
        <w:rPr>
          <w:rFonts w:ascii="Arial" w:hAnsi="Arial" w:cs="Arial"/>
          <w:bCs/>
          <w:i w:val="0"/>
          <w:iCs w:val="0"/>
          <w:color w:val="000000" w:themeColor="text1"/>
          <w:lang w:eastAsia="zh-CN"/>
        </w:rPr>
        <w:t>[at]apple[dot]com</w:t>
      </w:r>
    </w:p>
    <w:p w14:paraId="12EB903F" w14:textId="77777777" w:rsidR="00B004DD" w:rsidRPr="001C5750" w:rsidRDefault="00B004DD" w:rsidP="00B004DD">
      <w:pPr>
        <w:spacing w:after="60"/>
        <w:ind w:left="1985" w:hanging="1985"/>
        <w:rPr>
          <w:rFonts w:ascii="Arial" w:hAnsi="Arial" w:cs="Arial"/>
          <w:b/>
        </w:rPr>
      </w:pPr>
    </w:p>
    <w:p w14:paraId="72097136" w14:textId="77777777" w:rsidR="00B004DD" w:rsidRPr="001C5750" w:rsidRDefault="00B004DD" w:rsidP="00B004DD">
      <w:pPr>
        <w:spacing w:after="60"/>
        <w:ind w:left="1985" w:hanging="1985"/>
        <w:rPr>
          <w:rFonts w:ascii="Arial" w:hAnsi="Arial" w:cs="Arial"/>
          <w:bCs/>
        </w:rPr>
      </w:pPr>
      <w:r w:rsidRPr="001C5750">
        <w:rPr>
          <w:rFonts w:ascii="Arial" w:hAnsi="Arial" w:cs="Arial"/>
          <w:b/>
        </w:rPr>
        <w:t>Attachments:</w:t>
      </w:r>
      <w:r w:rsidRPr="001C5750">
        <w:rPr>
          <w:rFonts w:ascii="Arial" w:hAnsi="Arial" w:cs="Arial"/>
          <w:bCs/>
        </w:rPr>
        <w:tab/>
      </w:r>
    </w:p>
    <w:p w14:paraId="6F492AE3" w14:textId="77777777" w:rsidR="00B004DD" w:rsidRPr="001C5750" w:rsidRDefault="00B004DD" w:rsidP="00B004DD">
      <w:pPr>
        <w:pBdr>
          <w:bottom w:val="single" w:sz="4" w:space="1" w:color="auto"/>
        </w:pBdr>
        <w:rPr>
          <w:rFonts w:ascii="Arial" w:hAnsi="Arial" w:cs="Arial"/>
          <w:highlight w:val="yellow"/>
        </w:rPr>
      </w:pPr>
    </w:p>
    <w:p w14:paraId="64FF337C" w14:textId="77777777" w:rsidR="00B004DD" w:rsidRPr="001C5750" w:rsidRDefault="00B004DD" w:rsidP="00B004DD">
      <w:pPr>
        <w:rPr>
          <w:rFonts w:ascii="Arial" w:hAnsi="Arial" w:cs="Arial"/>
          <w:highlight w:val="yellow"/>
        </w:rPr>
      </w:pPr>
    </w:p>
    <w:p w14:paraId="2D6700FA" w14:textId="77777777" w:rsidR="00B004DD" w:rsidRPr="001C5750" w:rsidRDefault="00B004DD" w:rsidP="00B004DD">
      <w:pPr>
        <w:pStyle w:val="ListParagraph"/>
        <w:numPr>
          <w:ilvl w:val="0"/>
          <w:numId w:val="7"/>
        </w:numPr>
        <w:spacing w:after="120"/>
        <w:ind w:firstLineChars="0"/>
        <w:contextualSpacing/>
        <w:jc w:val="both"/>
        <w:rPr>
          <w:rFonts w:ascii="Arial" w:hAnsi="Arial" w:cs="Arial"/>
          <w:b/>
        </w:rPr>
      </w:pPr>
      <w:r w:rsidRPr="001C5750">
        <w:rPr>
          <w:rFonts w:ascii="Arial" w:hAnsi="Arial" w:cs="Arial"/>
          <w:b/>
        </w:rPr>
        <w:t>Overall Description:</w:t>
      </w:r>
    </w:p>
    <w:p w14:paraId="639D43FF" w14:textId="77777777" w:rsidR="00B004DD" w:rsidRPr="001C5750" w:rsidRDefault="00B004DD" w:rsidP="00B004DD">
      <w:pPr>
        <w:spacing w:after="120"/>
        <w:rPr>
          <w:rFonts w:ascii="Arial" w:hAnsi="Arial" w:cs="Arial"/>
          <w:bCs/>
          <w:sz w:val="20"/>
          <w:szCs w:val="20"/>
        </w:rPr>
      </w:pPr>
      <w:r w:rsidRPr="001C5750">
        <w:rPr>
          <w:rFonts w:ascii="Arial" w:hAnsi="Arial" w:cs="Arial"/>
          <w:bCs/>
          <w:sz w:val="20"/>
          <w:szCs w:val="20"/>
        </w:rPr>
        <w:t xml:space="preserve">RAN4 thanks RAN1 for their enquiry on the topic of </w:t>
      </w:r>
      <w:r w:rsidRPr="001C5750">
        <w:rPr>
          <w:rFonts w:ascii="Arial" w:eastAsia="MS Mincho" w:hAnsi="Arial" w:cs="Arial"/>
          <w:bCs/>
          <w:sz w:val="20"/>
          <w:szCs w:val="20"/>
          <w:lang w:val="en-GB" w:eastAsia="ja-JP"/>
        </w:rPr>
        <w:t xml:space="preserve">Timing Assumption for Inter-Cell DL Measurement </w:t>
      </w:r>
      <w:r w:rsidRPr="001C5750">
        <w:rPr>
          <w:rFonts w:ascii="Arial" w:hAnsi="Arial" w:cs="Arial"/>
          <w:bCs/>
          <w:sz w:val="20"/>
          <w:szCs w:val="20"/>
        </w:rPr>
        <w:t xml:space="preserve">and would like to provide the below responses to the questions asked. </w:t>
      </w:r>
    </w:p>
    <w:p w14:paraId="23466AED" w14:textId="77777777" w:rsidR="00B004DD" w:rsidRPr="001C5750" w:rsidRDefault="00B004DD" w:rsidP="00B004DD">
      <w:pPr>
        <w:spacing w:after="120"/>
        <w:rPr>
          <w:rFonts w:ascii="Arial" w:hAnsi="Arial" w:cs="Arial"/>
          <w:b/>
          <w:bCs/>
          <w:sz w:val="20"/>
          <w:szCs w:val="20"/>
          <w:lang w:val="en-GB"/>
        </w:rPr>
      </w:pPr>
      <w:r w:rsidRPr="00BA0164">
        <w:rPr>
          <w:rFonts w:ascii="Arial" w:hAnsi="Arial" w:cs="Arial"/>
          <w:b/>
          <w:bCs/>
          <w:sz w:val="20"/>
          <w:szCs w:val="20"/>
        </w:rPr>
        <w:t>Question 1</w:t>
      </w:r>
      <w:r w:rsidRPr="00BA0164">
        <w:rPr>
          <w:rFonts w:ascii="Arial" w:hAnsi="Arial" w:cs="Arial"/>
          <w:sz w:val="20"/>
          <w:szCs w:val="20"/>
        </w:rPr>
        <w:t>: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w:t>
      </w:r>
      <w:r w:rsidRPr="001C5750">
        <w:rPr>
          <w:rFonts w:ascii="Arial" w:hAnsi="Arial" w:cs="Arial"/>
          <w:b/>
          <w:bCs/>
          <w:sz w:val="20"/>
          <w:szCs w:val="20"/>
          <w:lang w:val="en-GB"/>
        </w:rPr>
        <w:t xml:space="preserve"> </w:t>
      </w:r>
    </w:p>
    <w:p w14:paraId="5F80BF0B" w14:textId="77777777" w:rsidR="00B004DD" w:rsidRPr="001C5750" w:rsidRDefault="00B004DD" w:rsidP="00B004DD">
      <w:pPr>
        <w:spacing w:after="120"/>
        <w:rPr>
          <w:rFonts w:ascii="Arial" w:hAnsi="Arial" w:cs="Arial"/>
          <w:sz w:val="20"/>
          <w:szCs w:val="20"/>
          <w:lang w:val="en-GB"/>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1C5750">
        <w:rPr>
          <w:rFonts w:ascii="Arial" w:hAnsi="Arial" w:cs="Arial"/>
          <w:sz w:val="20"/>
          <w:szCs w:val="20"/>
        </w:rPr>
        <w:t>The SMTC periodicity could be larger than SSB periodicity of non-serving cell to be measured. The benefit of limiting L1-RSRP measurements of non-serving cell to SMTC would use the existing framework for L3 neighbor cell measurement. On the other hand, allowing for measurements of L1-RSRP of non-</w:t>
      </w:r>
      <w:r w:rsidRPr="001C5750">
        <w:rPr>
          <w:rFonts w:ascii="Arial" w:hAnsi="Arial" w:cs="Arial"/>
          <w:sz w:val="20"/>
          <w:szCs w:val="20"/>
        </w:rPr>
        <w:lastRenderedPageBreak/>
        <w:t>serving cell outside SMTC would potentially shorten the measurement time, if measurement is made based on SSB periodicity rather than SMTC</w:t>
      </w:r>
    </w:p>
    <w:p w14:paraId="692DE4A2" w14:textId="77777777" w:rsidR="00B004DD" w:rsidRPr="001C5750" w:rsidRDefault="00B004DD" w:rsidP="00B004DD">
      <w:pPr>
        <w:spacing w:after="120"/>
        <w:rPr>
          <w:rFonts w:ascii="Arial" w:hAnsi="Arial" w:cs="Arial"/>
          <w:b/>
          <w:bCs/>
          <w:sz w:val="20"/>
          <w:szCs w:val="20"/>
          <w:lang w:val="en-GB"/>
        </w:rPr>
      </w:pPr>
    </w:p>
    <w:p w14:paraId="20A8FA50" w14:textId="77777777" w:rsidR="00B004DD" w:rsidRPr="001C5750" w:rsidRDefault="00B004DD" w:rsidP="00B004DD">
      <w:pPr>
        <w:spacing w:after="120"/>
        <w:rPr>
          <w:rFonts w:ascii="Arial" w:hAnsi="Arial" w:cs="Arial"/>
          <w:b/>
          <w:bCs/>
          <w:sz w:val="20"/>
          <w:szCs w:val="20"/>
          <w:lang w:val="en-GB"/>
        </w:rPr>
      </w:pPr>
      <w:r w:rsidRPr="00BA0164">
        <w:rPr>
          <w:rFonts w:ascii="Arial" w:hAnsi="Arial" w:cs="Arial"/>
          <w:b/>
          <w:bCs/>
          <w:sz w:val="20"/>
          <w:szCs w:val="20"/>
        </w:rPr>
        <w:t>Question 2</w:t>
      </w:r>
      <w:r w:rsidRPr="00BA0164">
        <w:rPr>
          <w:rFonts w:ascii="Arial" w:hAnsi="Arial" w:cs="Arial"/>
          <w:sz w:val="20"/>
          <w:szCs w:val="20"/>
        </w:rPr>
        <w:t xml:space="preserve">: In the context of L1/L2-centric inter-cell mobility, for </w:t>
      </w:r>
      <w:proofErr w:type="gramStart"/>
      <w:r w:rsidRPr="00BA0164">
        <w:rPr>
          <w:rFonts w:ascii="Arial" w:hAnsi="Arial" w:cs="Arial"/>
          <w:sz w:val="20"/>
          <w:szCs w:val="20"/>
        </w:rPr>
        <w:t>measurement on measurement</w:t>
      </w:r>
      <w:proofErr w:type="gramEnd"/>
      <w:r w:rsidRPr="00BA0164">
        <w:rPr>
          <w:rFonts w:ascii="Arial" w:hAnsi="Arial" w:cs="Arial"/>
          <w:sz w:val="20"/>
          <w:szCs w:val="20"/>
        </w:rPr>
        <w:t xml:space="preserve"> RS of a non-serving cell, with the above agreed L1-RSRP reporting, if the receive timing of the measurement RS from the non-serving cell can be different from the receive timing of the signals from the serving cell, what are the implication(s)/benefit(s), if any, from RAN4 perspective?</w:t>
      </w:r>
      <w:r w:rsidRPr="001C5750">
        <w:rPr>
          <w:rFonts w:ascii="Arial" w:hAnsi="Arial" w:cs="Arial"/>
          <w:b/>
          <w:bCs/>
          <w:sz w:val="20"/>
          <w:szCs w:val="20"/>
          <w:lang w:val="en-GB"/>
        </w:rPr>
        <w:t xml:space="preserve"> </w:t>
      </w:r>
    </w:p>
    <w:p w14:paraId="0D979247" w14:textId="77777777" w:rsidR="00B004DD" w:rsidRPr="001C5750" w:rsidRDefault="00B004DD" w:rsidP="00B004DD">
      <w:pPr>
        <w:spacing w:after="120"/>
        <w:rPr>
          <w:rFonts w:ascii="Arial" w:hAnsi="Arial" w:cs="Arial"/>
          <w:sz w:val="20"/>
          <w:szCs w:val="20"/>
          <w:lang w:val="en-GB"/>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1C5750">
        <w:rPr>
          <w:rFonts w:ascii="Arial" w:hAnsi="Arial" w:cs="Arial"/>
          <w:sz w:val="20"/>
          <w:szCs w:val="20"/>
        </w:rPr>
        <w:t>In FR1 TDD and FR2 the intra-frequency neighbor cell is assumed to be synchronous and can derive timing from serving cell. For FR1 FDD the intra-frequency cell could be asynchronous and have different receive timing compared to serving cell.</w:t>
      </w:r>
    </w:p>
    <w:p w14:paraId="0AD35EA6" w14:textId="77777777" w:rsidR="00B004DD" w:rsidRPr="001C5750" w:rsidRDefault="00B004DD" w:rsidP="00B004DD">
      <w:pPr>
        <w:ind w:left="720"/>
        <w:rPr>
          <w:rFonts w:ascii="Arial" w:hAnsi="Arial" w:cs="Arial"/>
          <w:b/>
          <w:bCs/>
          <w:sz w:val="20"/>
          <w:szCs w:val="20"/>
          <w:lang w:val="en-GB"/>
        </w:rPr>
      </w:pPr>
    </w:p>
    <w:p w14:paraId="69E2CA43" w14:textId="77777777" w:rsidR="00B004DD" w:rsidRPr="001C5750" w:rsidRDefault="00B004DD" w:rsidP="00B004DD">
      <w:pPr>
        <w:ind w:left="720"/>
        <w:rPr>
          <w:rFonts w:ascii="Arial" w:hAnsi="Arial" w:cs="Arial"/>
          <w:sz w:val="20"/>
          <w:szCs w:val="20"/>
        </w:rPr>
      </w:pPr>
    </w:p>
    <w:p w14:paraId="3C7662E0" w14:textId="77777777" w:rsidR="00B004DD" w:rsidRPr="001C5750" w:rsidRDefault="00B004DD" w:rsidP="00B004DD">
      <w:pPr>
        <w:spacing w:after="120"/>
        <w:rPr>
          <w:rFonts w:ascii="Arial" w:hAnsi="Arial" w:cs="Arial"/>
          <w:b/>
        </w:rPr>
      </w:pPr>
      <w:r w:rsidRPr="001C5750">
        <w:rPr>
          <w:rFonts w:ascii="Arial" w:hAnsi="Arial" w:cs="Arial"/>
          <w:b/>
        </w:rPr>
        <w:t xml:space="preserve">2. To RAN WG1 group. </w:t>
      </w:r>
    </w:p>
    <w:p w14:paraId="24BC12DA" w14:textId="77777777" w:rsidR="00B004DD" w:rsidRPr="001C5750" w:rsidRDefault="00B004DD" w:rsidP="00B004DD">
      <w:pPr>
        <w:spacing w:after="120"/>
        <w:rPr>
          <w:rFonts w:ascii="Arial" w:hAnsi="Arial" w:cs="Arial"/>
          <w:lang w:eastAsia="zh-CN"/>
        </w:rPr>
      </w:pPr>
      <w:r w:rsidRPr="001C5750">
        <w:rPr>
          <w:rFonts w:ascii="Arial" w:hAnsi="Arial" w:cs="Arial"/>
          <w:b/>
        </w:rPr>
        <w:t xml:space="preserve">ACTION: </w:t>
      </w:r>
      <w:r w:rsidRPr="001C5750">
        <w:rPr>
          <w:rFonts w:ascii="Arial" w:hAnsi="Arial" w:cs="Arial"/>
          <w:lang w:eastAsia="zh-CN"/>
        </w:rPr>
        <w:t>RAN4 requests RAN1 to take the above responses into consideration.</w:t>
      </w:r>
    </w:p>
    <w:p w14:paraId="5E2C091D" w14:textId="77777777" w:rsidR="00B004DD" w:rsidRPr="001C5750" w:rsidRDefault="00B004DD" w:rsidP="00B004DD">
      <w:pPr>
        <w:spacing w:after="120"/>
        <w:ind w:left="720"/>
        <w:rPr>
          <w:rFonts w:ascii="Arial" w:hAnsi="Arial" w:cs="Arial"/>
          <w:lang w:eastAsia="zh-CN"/>
        </w:rPr>
      </w:pPr>
    </w:p>
    <w:p w14:paraId="5A668828" w14:textId="77777777" w:rsidR="00B004DD" w:rsidRPr="001C5750" w:rsidRDefault="00B004DD" w:rsidP="00B004DD">
      <w:pPr>
        <w:spacing w:after="120"/>
        <w:rPr>
          <w:rFonts w:ascii="Arial" w:hAnsi="Arial" w:cs="Arial"/>
          <w:b/>
        </w:rPr>
      </w:pPr>
      <w:r w:rsidRPr="001C5750">
        <w:rPr>
          <w:rFonts w:ascii="Arial" w:hAnsi="Arial" w:cs="Arial"/>
          <w:b/>
        </w:rPr>
        <w:t>3. Date of Next TSG-RAN WG4 Meetings:</w:t>
      </w:r>
    </w:p>
    <w:p w14:paraId="2A825294" w14:textId="77777777" w:rsidR="00B004DD" w:rsidRDefault="00B004DD" w:rsidP="00B004DD">
      <w:pPr>
        <w:tabs>
          <w:tab w:val="left" w:pos="3625"/>
        </w:tabs>
        <w:ind w:left="2268" w:hanging="2268"/>
        <w:rPr>
          <w:rFonts w:ascii="Arial" w:hAnsi="Arial" w:cs="Arial"/>
          <w:bCs/>
        </w:rPr>
      </w:pPr>
      <w:r w:rsidRPr="001C5750">
        <w:rPr>
          <w:rFonts w:ascii="Arial" w:hAnsi="Arial" w:cs="Arial"/>
          <w:bCs/>
        </w:rPr>
        <w:t>TSG RAN WG4 Meeting #</w:t>
      </w:r>
      <w:r>
        <w:rPr>
          <w:rFonts w:ascii="Arial" w:hAnsi="Arial" w:cs="Arial"/>
          <w:bCs/>
        </w:rPr>
        <w:t>100</w:t>
      </w:r>
      <w:r w:rsidRPr="001C5750">
        <w:rPr>
          <w:rFonts w:ascii="Arial" w:hAnsi="Arial" w:cs="Arial"/>
          <w:bCs/>
        </w:rPr>
        <w:t xml:space="preserve">-e                  </w:t>
      </w:r>
      <w:r>
        <w:rPr>
          <w:rFonts w:ascii="Arial" w:hAnsi="Arial" w:cs="Arial"/>
          <w:bCs/>
        </w:rPr>
        <w:t>August</w:t>
      </w:r>
      <w:r w:rsidRPr="001C5750">
        <w:rPr>
          <w:rFonts w:ascii="Arial" w:hAnsi="Arial" w:cs="Arial"/>
          <w:bCs/>
        </w:rPr>
        <w:t xml:space="preserve"> 1</w:t>
      </w:r>
      <w:r>
        <w:rPr>
          <w:rFonts w:ascii="Arial" w:hAnsi="Arial" w:cs="Arial"/>
          <w:bCs/>
        </w:rPr>
        <w:t>6</w:t>
      </w:r>
      <w:r w:rsidRPr="001C5750">
        <w:rPr>
          <w:rFonts w:ascii="Arial" w:hAnsi="Arial" w:cs="Arial"/>
          <w:bCs/>
        </w:rPr>
        <w:t xml:space="preserve"> – 27, 2021            </w:t>
      </w:r>
      <w:r w:rsidRPr="001C5750">
        <w:rPr>
          <w:rFonts w:ascii="Arial" w:hAnsi="Arial" w:cs="Arial"/>
          <w:bCs/>
        </w:rPr>
        <w:tab/>
        <w:t xml:space="preserve"> </w:t>
      </w:r>
      <w:r w:rsidRPr="001C5750">
        <w:rPr>
          <w:rFonts w:ascii="Arial" w:hAnsi="Arial" w:cs="Arial"/>
          <w:bCs/>
        </w:rPr>
        <w:tab/>
        <w:t xml:space="preserve"> Online</w:t>
      </w:r>
    </w:p>
    <w:p w14:paraId="64A6CEC1" w14:textId="77777777" w:rsidR="00B004DD" w:rsidRPr="00CD096D" w:rsidRDefault="00B004DD" w:rsidP="00B004DD">
      <w:pPr>
        <w:rPr>
          <w:rFonts w:ascii="Arial" w:hAnsi="Arial" w:cs="Arial"/>
          <w:sz w:val="20"/>
          <w:szCs w:val="20"/>
        </w:rPr>
      </w:pPr>
    </w:p>
    <w:p w14:paraId="6E56BDE4" w14:textId="77777777" w:rsidR="00B004DD" w:rsidRDefault="00B004DD" w:rsidP="00B004DD"/>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㐠૿怀"/>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8D93868"/>
    <w:multiLevelType w:val="hybridMultilevel"/>
    <w:tmpl w:val="A482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61B6AE8"/>
    <w:multiLevelType w:val="hybridMultilevel"/>
    <w:tmpl w:val="0DD4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88492E"/>
    <w:multiLevelType w:val="hybridMultilevel"/>
    <w:tmpl w:val="BE6CDECA"/>
    <w:lvl w:ilvl="0" w:tplc="4C12E0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6"/>
  </w:num>
  <w:num w:numId="3">
    <w:abstractNumId w:val="0"/>
  </w:num>
  <w:num w:numId="4">
    <w:abstractNumId w:val="9"/>
  </w:num>
  <w:num w:numId="5">
    <w:abstractNumId w:val="2"/>
  </w:num>
  <w:num w:numId="6">
    <w:abstractNumId w:val="5"/>
  </w:num>
  <w:num w:numId="7">
    <w:abstractNumId w:val="3"/>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7393"/>
    <w:rsid w:val="00121828"/>
    <w:rsid w:val="00141956"/>
    <w:rsid w:val="00177147"/>
    <w:rsid w:val="001B5D0A"/>
    <w:rsid w:val="001C663E"/>
    <w:rsid w:val="002649C6"/>
    <w:rsid w:val="002870EA"/>
    <w:rsid w:val="002F4FA3"/>
    <w:rsid w:val="003D1E60"/>
    <w:rsid w:val="004D1584"/>
    <w:rsid w:val="0057184D"/>
    <w:rsid w:val="005B410D"/>
    <w:rsid w:val="005D1B1F"/>
    <w:rsid w:val="006A1FC4"/>
    <w:rsid w:val="007A3BE1"/>
    <w:rsid w:val="007C626C"/>
    <w:rsid w:val="00924CB2"/>
    <w:rsid w:val="00951300"/>
    <w:rsid w:val="009D596C"/>
    <w:rsid w:val="009F52D7"/>
    <w:rsid w:val="00AC56A9"/>
    <w:rsid w:val="00B004DD"/>
    <w:rsid w:val="00B8567C"/>
    <w:rsid w:val="00CD0F63"/>
    <w:rsid w:val="00DB6943"/>
    <w:rsid w:val="00DF1ED2"/>
    <w:rsid w:val="00E16D97"/>
    <w:rsid w:val="00E4166E"/>
    <w:rsid w:val="00E5586A"/>
    <w:rsid w:val="00E9138B"/>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004D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B004DD"/>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6A1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004DD"/>
    <w:rPr>
      <w:rFonts w:asciiTheme="majorHAnsi" w:eastAsiaTheme="majorEastAsia" w:hAnsiTheme="majorHAnsi" w:cstheme="majorBidi"/>
      <w:i/>
      <w:iCs/>
      <w:color w:val="2F5496" w:themeColor="accent1" w:themeShade="BF"/>
      <w:sz w:val="21"/>
      <w:szCs w:val="21"/>
    </w:rPr>
  </w:style>
  <w:style w:type="character" w:customStyle="1" w:styleId="Heading7Char">
    <w:name w:val="Heading 7 Char"/>
    <w:basedOn w:val="DefaultParagraphFont"/>
    <w:link w:val="Heading7"/>
    <w:uiPriority w:val="9"/>
    <w:semiHidden/>
    <w:rsid w:val="00B004DD"/>
    <w:rPr>
      <w:rFonts w:asciiTheme="majorHAnsi" w:eastAsiaTheme="majorEastAsia" w:hAnsiTheme="majorHAnsi" w:cstheme="majorBidi"/>
      <w:i/>
      <w:iCs/>
      <w:color w:val="1F3763" w:themeColor="accent1" w:themeShade="7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2791</Words>
  <Characters>13009</Characters>
  <Application>Microsoft Office Word</Application>
  <DocSecurity>0</DocSecurity>
  <Lines>1300</Lines>
  <Paragraphs>718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2021-05-11T18:13:00Z</dcterms:created>
  <dcterms:modified xsi:type="dcterms:W3CDTF">2021-05-11T18:13:00Z</dcterms:modified>
</cp:coreProperties>
</file>